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B9" w:rsidRPr="001C18ED" w:rsidRDefault="00F96BB9">
      <w:pPr>
        <w:pStyle w:val="a5"/>
        <w:jc w:val="center"/>
        <w:rPr>
          <w:rFonts w:ascii="Tahoma" w:hAnsi="Tahoma" w:cs="Tahoma"/>
          <w:bCs/>
          <w:sz w:val="22"/>
          <w:szCs w:val="22"/>
          <w:u w:val="none"/>
        </w:rPr>
      </w:pPr>
      <w:r w:rsidRPr="001C18ED">
        <w:rPr>
          <w:rFonts w:ascii="Tahoma" w:hAnsi="Tahoma" w:cs="Tahoma"/>
          <w:bCs/>
          <w:sz w:val="22"/>
          <w:szCs w:val="22"/>
        </w:rPr>
        <w:t>ΠΑΝΤΕΙΟ ΠΑΝΕΠΙΣΤΗΜΙΟ</w:t>
      </w:r>
      <w:r w:rsidR="005A18C5" w:rsidRPr="001C18ED">
        <w:rPr>
          <w:rFonts w:ascii="Tahoma" w:hAnsi="Tahoma" w:cs="Tahoma"/>
          <w:bCs/>
          <w:sz w:val="22"/>
          <w:szCs w:val="22"/>
        </w:rPr>
        <w:t xml:space="preserve">- </w:t>
      </w:r>
      <w:r w:rsidRPr="001C18ED">
        <w:rPr>
          <w:rFonts w:ascii="Tahoma" w:hAnsi="Tahoma" w:cs="Tahoma"/>
          <w:bCs/>
          <w:sz w:val="22"/>
          <w:szCs w:val="22"/>
        </w:rPr>
        <w:t>ΤΜΗΜΑ ΟΙΚΟΝΟΜΙΚΗΣ ΚΑΙ ΠΕΡΙΦΕΡΕΙΑΚΗΣ ΑΝΑΠΤΥΞΗΣ</w:t>
      </w:r>
      <w:r w:rsidR="009E1B3D">
        <w:rPr>
          <w:rFonts w:ascii="Tahoma" w:hAnsi="Tahoma" w:cs="Tahoma"/>
          <w:bCs/>
          <w:sz w:val="22"/>
          <w:szCs w:val="22"/>
        </w:rPr>
        <w:t xml:space="preserve"> </w:t>
      </w:r>
      <w:r w:rsidRPr="001C18ED">
        <w:rPr>
          <w:rFonts w:ascii="Tahoma" w:hAnsi="Tahoma" w:cs="Tahoma"/>
          <w:bCs/>
          <w:sz w:val="22"/>
          <w:szCs w:val="22"/>
          <w:u w:val="none"/>
        </w:rPr>
        <w:t xml:space="preserve">ΑΚΑΔΗΜΑΪΚΟ ΕΤΟΣ: </w:t>
      </w:r>
      <w:r w:rsidR="00ED059E">
        <w:rPr>
          <w:rFonts w:ascii="Tahoma" w:hAnsi="Tahoma" w:cs="Tahoma"/>
          <w:bCs/>
          <w:sz w:val="22"/>
          <w:szCs w:val="22"/>
          <w:u w:val="none"/>
        </w:rPr>
        <w:t>201</w:t>
      </w:r>
      <w:r w:rsidR="00ED059E" w:rsidRPr="00ED059E">
        <w:rPr>
          <w:rFonts w:ascii="Tahoma" w:hAnsi="Tahoma" w:cs="Tahoma"/>
          <w:bCs/>
          <w:sz w:val="22"/>
          <w:szCs w:val="22"/>
          <w:u w:val="none"/>
        </w:rPr>
        <w:t>3</w:t>
      </w:r>
      <w:r w:rsidR="006E6B9D" w:rsidRPr="001C18ED">
        <w:rPr>
          <w:rFonts w:ascii="Tahoma" w:hAnsi="Tahoma" w:cs="Tahoma"/>
          <w:bCs/>
          <w:sz w:val="22"/>
          <w:szCs w:val="22"/>
          <w:u w:val="none"/>
        </w:rPr>
        <w:t>-20</w:t>
      </w:r>
      <w:r w:rsidR="00ED059E">
        <w:rPr>
          <w:rFonts w:ascii="Tahoma" w:hAnsi="Tahoma" w:cs="Tahoma"/>
          <w:bCs/>
          <w:sz w:val="22"/>
          <w:szCs w:val="22"/>
          <w:u w:val="none"/>
        </w:rPr>
        <w:t>1</w:t>
      </w:r>
      <w:r w:rsidR="00ED059E" w:rsidRPr="00ED059E">
        <w:rPr>
          <w:rFonts w:ascii="Tahoma" w:hAnsi="Tahoma" w:cs="Tahoma"/>
          <w:bCs/>
          <w:sz w:val="22"/>
          <w:szCs w:val="22"/>
          <w:u w:val="none"/>
        </w:rPr>
        <w:t>4</w:t>
      </w:r>
      <w:r w:rsidR="001C18ED" w:rsidRPr="001C18ED">
        <w:rPr>
          <w:rFonts w:ascii="Tahoma" w:hAnsi="Tahoma" w:cs="Tahoma"/>
          <w:bCs/>
          <w:sz w:val="22"/>
          <w:szCs w:val="22"/>
          <w:u w:val="none"/>
        </w:rPr>
        <w:t xml:space="preserve">, </w:t>
      </w:r>
      <w:r w:rsidR="00ED059E">
        <w:rPr>
          <w:rFonts w:ascii="Tahoma" w:hAnsi="Tahoma" w:cs="Tahoma"/>
          <w:bCs/>
          <w:sz w:val="22"/>
          <w:szCs w:val="22"/>
          <w:u w:val="none"/>
          <w:lang w:val="en-US"/>
        </w:rPr>
        <w:t>MA</w:t>
      </w:r>
      <w:r w:rsidR="00ED059E" w:rsidRPr="00ED059E">
        <w:rPr>
          <w:rFonts w:ascii="Tahoma" w:hAnsi="Tahoma" w:cs="Tahoma"/>
          <w:bCs/>
          <w:sz w:val="22"/>
          <w:szCs w:val="22"/>
          <w:u w:val="none"/>
        </w:rPr>
        <w:t>ΘΗΜΑ ΕΠΙΛΟΓΗΣ</w:t>
      </w:r>
      <w:r w:rsidR="00ED059E" w:rsidRPr="00ED059E">
        <w:rPr>
          <w:rFonts w:ascii="Tahoma" w:hAnsi="Tahoma" w:cs="Tahoma"/>
          <w:sz w:val="22"/>
          <w:szCs w:val="22"/>
          <w:u w:val="none"/>
        </w:rPr>
        <w:t xml:space="preserve"> </w:t>
      </w:r>
      <w:r w:rsidRPr="001C18ED">
        <w:rPr>
          <w:rFonts w:ascii="Tahoma" w:hAnsi="Tahoma" w:cs="Tahoma"/>
          <w:sz w:val="22"/>
          <w:szCs w:val="22"/>
          <w:u w:val="none"/>
        </w:rPr>
        <w:t xml:space="preserve">  </w:t>
      </w:r>
    </w:p>
    <w:p w:rsidR="00F96BB9" w:rsidRPr="001C18ED" w:rsidRDefault="00F96BB9">
      <w:pPr>
        <w:pStyle w:val="a5"/>
        <w:jc w:val="center"/>
        <w:rPr>
          <w:rFonts w:ascii="Tahoma" w:hAnsi="Tahoma" w:cs="Tahoma"/>
          <w:sz w:val="22"/>
          <w:szCs w:val="22"/>
        </w:rPr>
      </w:pPr>
    </w:p>
    <w:p w:rsidR="00F96BB9" w:rsidRPr="001C18ED" w:rsidRDefault="00B8695A" w:rsidP="00744502">
      <w:pPr>
        <w:pStyle w:val="a5"/>
        <w:jc w:val="center"/>
        <w:rPr>
          <w:rFonts w:ascii="Tahoma" w:hAnsi="Tahoma" w:cs="Tahoma"/>
          <w:b/>
          <w:bCs/>
          <w:sz w:val="22"/>
          <w:szCs w:val="22"/>
          <w:u w:val="none"/>
        </w:rPr>
      </w:pPr>
      <w:r w:rsidRPr="001C18ED">
        <w:rPr>
          <w:rFonts w:ascii="Tahoma" w:hAnsi="Tahoma" w:cs="Tahoma"/>
          <w:b/>
          <w:bCs/>
          <w:sz w:val="22"/>
          <w:szCs w:val="22"/>
          <w:u w:val="none"/>
        </w:rPr>
        <w:t>Χωρκός σχεδιασμός και βιώσιμη ανάπτυξη : Πολιτικές, μέθοδοι και εργαλεία</w:t>
      </w:r>
    </w:p>
    <w:p w:rsidR="006E6B9D" w:rsidRPr="00ED059E" w:rsidRDefault="005A18C5" w:rsidP="006E6B9D">
      <w:pPr>
        <w:pStyle w:val="a5"/>
        <w:jc w:val="center"/>
        <w:rPr>
          <w:rFonts w:ascii="Tahoma" w:hAnsi="Tahoma" w:cs="Tahoma"/>
          <w:sz w:val="22"/>
          <w:szCs w:val="22"/>
          <w:u w:val="none"/>
        </w:rPr>
      </w:pPr>
      <w:r w:rsidRPr="00ED059E">
        <w:rPr>
          <w:rFonts w:ascii="Tahoma" w:hAnsi="Tahoma" w:cs="Tahoma"/>
          <w:sz w:val="22"/>
          <w:szCs w:val="22"/>
          <w:u w:val="none"/>
        </w:rPr>
        <w:t xml:space="preserve">Διδάσκουσα </w:t>
      </w:r>
      <w:r w:rsidR="00B8695A" w:rsidRPr="00ED059E">
        <w:rPr>
          <w:rFonts w:ascii="Tahoma" w:hAnsi="Tahoma" w:cs="Tahoma"/>
          <w:sz w:val="22"/>
          <w:szCs w:val="22"/>
          <w:u w:val="none"/>
        </w:rPr>
        <w:t xml:space="preserve">: </w:t>
      </w:r>
      <w:r w:rsidR="006E6B9D" w:rsidRPr="00ED059E">
        <w:rPr>
          <w:rFonts w:ascii="Tahoma" w:hAnsi="Tahoma" w:cs="Tahoma"/>
          <w:sz w:val="22"/>
          <w:szCs w:val="22"/>
          <w:u w:val="none"/>
        </w:rPr>
        <w:t xml:space="preserve">Στέλλα Κυβέλου, </w:t>
      </w:r>
      <w:r w:rsidRPr="00ED059E">
        <w:rPr>
          <w:rFonts w:ascii="Tahoma" w:hAnsi="Tahoma" w:cs="Tahoma"/>
          <w:sz w:val="22"/>
          <w:szCs w:val="22"/>
          <w:u w:val="none"/>
        </w:rPr>
        <w:t xml:space="preserve"> Επίκουρη </w:t>
      </w:r>
      <w:r w:rsidR="006E6B9D" w:rsidRPr="00ED059E">
        <w:rPr>
          <w:rFonts w:ascii="Tahoma" w:hAnsi="Tahoma" w:cs="Tahoma"/>
          <w:sz w:val="22"/>
          <w:szCs w:val="22"/>
          <w:u w:val="none"/>
        </w:rPr>
        <w:t>Καθηγήτρια</w:t>
      </w:r>
    </w:p>
    <w:p w:rsidR="00F96BB9" w:rsidRPr="001C18ED" w:rsidRDefault="006E6B9D">
      <w:pPr>
        <w:pStyle w:val="20"/>
        <w:rPr>
          <w:rFonts w:ascii="Tahoma" w:hAnsi="Tahoma" w:cs="Tahoma"/>
          <w:i/>
          <w:iCs/>
          <w:sz w:val="22"/>
          <w:szCs w:val="22"/>
        </w:rPr>
      </w:pPr>
      <w:r w:rsidRPr="001C18ED"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411E1C" w:rsidRPr="00411E1C" w:rsidRDefault="006E6B9D" w:rsidP="00411E1C">
      <w:pPr>
        <w:jc w:val="both"/>
        <w:rPr>
          <w:rFonts w:ascii="Tahoma" w:hAnsi="Tahoma" w:cs="Tahoma"/>
          <w:iCs/>
          <w:sz w:val="22"/>
          <w:szCs w:val="22"/>
          <w:lang w:val="el-GR"/>
        </w:rPr>
      </w:pPr>
      <w:r w:rsidRPr="00411E1C">
        <w:rPr>
          <w:rFonts w:ascii="Tahoma" w:hAnsi="Tahoma" w:cs="Tahoma"/>
          <w:iCs/>
          <w:sz w:val="22"/>
          <w:szCs w:val="22"/>
          <w:lang w:val="el-GR"/>
        </w:rPr>
        <w:t xml:space="preserve">Το μάθημα αναφέρεται στην εισαγωγή της βιώσιμης </w:t>
      </w:r>
      <w:r w:rsidR="00411E1C" w:rsidRPr="00411E1C">
        <w:rPr>
          <w:rFonts w:ascii="Tahoma" w:hAnsi="Tahoma" w:cs="Tahoma"/>
          <w:iCs/>
          <w:sz w:val="22"/>
          <w:szCs w:val="22"/>
          <w:lang w:val="el-GR"/>
        </w:rPr>
        <w:t xml:space="preserve">ανάπτυξης  </w:t>
      </w:r>
      <w:r w:rsidR="00B8695A" w:rsidRPr="00411E1C">
        <w:rPr>
          <w:rFonts w:ascii="Tahoma" w:hAnsi="Tahoma" w:cs="Tahoma"/>
          <w:iCs/>
          <w:sz w:val="22"/>
          <w:szCs w:val="22"/>
          <w:lang w:val="el-GR"/>
        </w:rPr>
        <w:t xml:space="preserve">στο </w:t>
      </w:r>
      <w:r w:rsidR="00411E1C" w:rsidRPr="00411E1C">
        <w:rPr>
          <w:rFonts w:ascii="Tahoma" w:hAnsi="Tahoma" w:cs="Tahoma"/>
          <w:iCs/>
          <w:sz w:val="22"/>
          <w:szCs w:val="22"/>
          <w:lang w:val="el-GR"/>
        </w:rPr>
        <w:t xml:space="preserve">χωρικό </w:t>
      </w:r>
      <w:r w:rsidR="00B8695A" w:rsidRPr="00411E1C">
        <w:rPr>
          <w:rFonts w:ascii="Tahoma" w:hAnsi="Tahoma" w:cs="Tahoma"/>
          <w:iCs/>
          <w:sz w:val="22"/>
          <w:szCs w:val="22"/>
          <w:lang w:val="el-GR"/>
        </w:rPr>
        <w:t>σχεδιασμό</w:t>
      </w:r>
      <w:r w:rsidRPr="00411E1C">
        <w:rPr>
          <w:rFonts w:ascii="Tahoma" w:hAnsi="Tahoma" w:cs="Tahoma"/>
          <w:iCs/>
          <w:sz w:val="22"/>
          <w:szCs w:val="22"/>
          <w:lang w:val="el-GR"/>
        </w:rPr>
        <w:t xml:space="preserve"> </w:t>
      </w:r>
      <w:r w:rsidR="00411E1C" w:rsidRPr="00411E1C">
        <w:rPr>
          <w:rFonts w:ascii="Tahoma" w:hAnsi="Tahoma" w:cs="Tahoma"/>
          <w:iCs/>
          <w:sz w:val="22"/>
          <w:szCs w:val="22"/>
          <w:lang w:val="el-GR"/>
        </w:rPr>
        <w:t xml:space="preserve">και στις χωρικές πολιτικές </w:t>
      </w:r>
      <w:r w:rsidRPr="00411E1C">
        <w:rPr>
          <w:rFonts w:ascii="Tahoma" w:hAnsi="Tahoma" w:cs="Tahoma"/>
          <w:iCs/>
          <w:sz w:val="22"/>
          <w:szCs w:val="22"/>
          <w:lang w:val="el-GR"/>
        </w:rPr>
        <w:t>σε όλες τις κλίμακες του χώρου, στην κλίμακα της χωροταξίας, σ’ αυτήν της πόλης και της γειτονιάς και τέλος στην κλίμακα της κατοικίας</w:t>
      </w:r>
      <w:r w:rsidR="00411E1C" w:rsidRPr="00411E1C">
        <w:rPr>
          <w:rFonts w:ascii="Tahoma" w:hAnsi="Tahoma" w:cs="Tahoma"/>
          <w:iCs/>
          <w:sz w:val="22"/>
          <w:szCs w:val="22"/>
          <w:lang w:val="el-GR"/>
        </w:rPr>
        <w:t>. Τ</w:t>
      </w:r>
      <w:r w:rsidR="00F96BB9" w:rsidRPr="00411E1C">
        <w:rPr>
          <w:rFonts w:ascii="Tahoma" w:hAnsi="Tahoma" w:cs="Tahoma"/>
          <w:iCs/>
          <w:sz w:val="22"/>
          <w:szCs w:val="22"/>
          <w:lang w:val="el-GR"/>
        </w:rPr>
        <w:t xml:space="preserve">ο μάθημα </w:t>
      </w:r>
      <w:r w:rsidR="00744502" w:rsidRPr="00411E1C">
        <w:rPr>
          <w:rFonts w:ascii="Tahoma" w:hAnsi="Tahoma" w:cs="Tahoma"/>
          <w:iCs/>
          <w:sz w:val="22"/>
          <w:szCs w:val="22"/>
          <w:lang w:val="el-GR"/>
        </w:rPr>
        <w:t xml:space="preserve"> </w:t>
      </w:r>
      <w:r w:rsidR="00411E1C" w:rsidRPr="00411E1C">
        <w:rPr>
          <w:rFonts w:ascii="Tahoma" w:hAnsi="Tahoma" w:cs="Tahoma"/>
          <w:iCs/>
          <w:sz w:val="22"/>
          <w:szCs w:val="22"/>
          <w:lang w:val="el-GR"/>
        </w:rPr>
        <w:t xml:space="preserve"> επικεντρώνεται</w:t>
      </w:r>
      <w:r w:rsidR="00F96BB9" w:rsidRPr="00411E1C">
        <w:rPr>
          <w:rFonts w:ascii="Tahoma" w:hAnsi="Tahoma" w:cs="Tahoma"/>
          <w:iCs/>
          <w:sz w:val="22"/>
          <w:szCs w:val="22"/>
          <w:lang w:val="el-GR"/>
        </w:rPr>
        <w:t xml:space="preserve"> </w:t>
      </w:r>
      <w:r w:rsidR="00B8695A" w:rsidRPr="00411E1C">
        <w:rPr>
          <w:rFonts w:ascii="Tahoma" w:hAnsi="Tahoma" w:cs="Tahoma"/>
          <w:iCs/>
          <w:sz w:val="22"/>
          <w:szCs w:val="22"/>
          <w:lang w:val="el-GR"/>
        </w:rPr>
        <w:t xml:space="preserve"> </w:t>
      </w:r>
      <w:r w:rsidR="00411E1C" w:rsidRPr="00411E1C">
        <w:rPr>
          <w:rFonts w:ascii="Tahoma" w:hAnsi="Tahoma" w:cs="Tahoma"/>
          <w:iCs/>
          <w:sz w:val="22"/>
          <w:szCs w:val="22"/>
          <w:lang w:val="el-GR"/>
        </w:rPr>
        <w:t>σ</w:t>
      </w:r>
      <w:r w:rsidR="00411E1C" w:rsidRPr="00411E1C">
        <w:rPr>
          <w:rFonts w:ascii="Tahoma" w:hAnsi="Tahoma" w:cs="Tahoma"/>
          <w:bCs/>
          <w:iCs/>
          <w:sz w:val="22"/>
          <w:szCs w:val="22"/>
          <w:lang w:val="el-GR"/>
        </w:rPr>
        <w:t xml:space="preserve">τα εργαλεία προσέγγισης και ποσοτικοποίησης της </w:t>
      </w:r>
      <w:r w:rsidR="00411E1C" w:rsidRPr="00411E1C">
        <w:rPr>
          <w:rFonts w:ascii="Tahoma" w:hAnsi="Tahoma" w:cs="Tahoma"/>
          <w:iCs/>
          <w:sz w:val="22"/>
          <w:szCs w:val="22"/>
          <w:lang w:val="el-GR"/>
        </w:rPr>
        <w:t>βιώσιμης χωρικής ανάπτυξης σε όλες τις χωρικές κλίμακες</w:t>
      </w:r>
      <w:r w:rsidR="00411E1C" w:rsidRPr="00411E1C">
        <w:rPr>
          <w:rFonts w:ascii="Tahoma" w:hAnsi="Tahoma" w:cs="Tahoma"/>
          <w:bCs/>
          <w:iCs/>
          <w:sz w:val="22"/>
          <w:szCs w:val="22"/>
          <w:lang w:val="el-GR"/>
        </w:rPr>
        <w:t xml:space="preserve"> και κυρίως σε αυτά που εκτιμούν</w:t>
      </w:r>
      <w:r w:rsidR="00ED059E">
        <w:rPr>
          <w:rFonts w:ascii="Tahoma" w:hAnsi="Tahoma" w:cs="Tahoma"/>
          <w:bCs/>
          <w:iCs/>
          <w:sz w:val="22"/>
          <w:szCs w:val="22"/>
          <w:lang w:val="el-GR"/>
        </w:rPr>
        <w:t>, αξιολογούν και πιστοποιούν</w:t>
      </w:r>
      <w:r w:rsidR="00411E1C" w:rsidRPr="00411E1C">
        <w:rPr>
          <w:rFonts w:ascii="Tahoma" w:hAnsi="Tahoma" w:cs="Tahoma"/>
          <w:bCs/>
          <w:iCs/>
          <w:sz w:val="22"/>
          <w:szCs w:val="22"/>
          <w:lang w:val="el-GR"/>
        </w:rPr>
        <w:t xml:space="preserve"> την αστική βιωσιμότητα. </w:t>
      </w:r>
    </w:p>
    <w:p w:rsidR="00411E1C" w:rsidRPr="00E85925" w:rsidRDefault="00411E1C">
      <w:pPr>
        <w:jc w:val="both"/>
        <w:rPr>
          <w:rFonts w:ascii="Tahoma" w:hAnsi="Tahoma" w:cs="Tahoma"/>
          <w:iCs/>
          <w:sz w:val="16"/>
          <w:szCs w:val="16"/>
          <w:lang w:val="el-GR"/>
        </w:rPr>
      </w:pPr>
    </w:p>
    <w:p w:rsidR="006E6B9D" w:rsidRPr="001C18ED" w:rsidRDefault="006E6B9D">
      <w:pPr>
        <w:jc w:val="both"/>
        <w:rPr>
          <w:rFonts w:ascii="Tahoma" w:hAnsi="Tahoma" w:cs="Tahoma"/>
          <w:bCs/>
          <w:iCs/>
          <w:sz w:val="22"/>
          <w:szCs w:val="22"/>
          <w:lang w:val="el-GR"/>
        </w:rPr>
      </w:pPr>
      <w:r w:rsidRPr="001C18ED">
        <w:rPr>
          <w:rFonts w:ascii="Tahoma" w:hAnsi="Tahoma" w:cs="Tahoma"/>
          <w:bCs/>
          <w:iCs/>
          <w:sz w:val="22"/>
          <w:szCs w:val="22"/>
          <w:lang w:val="el-GR"/>
        </w:rPr>
        <w:t xml:space="preserve">ΑΝΑΛΥΤΙΚΑ ΤΟ ΜΑΘΗΜΑ ΑΡΘΡΩΝΕΤΑΙ ΣΕ ΤΡΙΑ ΜΕΓΑΛΑ ΥΠΟΚΕΦΑΛΑΙΑ : </w:t>
      </w:r>
    </w:p>
    <w:p w:rsidR="006E6B9D" w:rsidRPr="00E85925" w:rsidRDefault="006E6B9D">
      <w:pPr>
        <w:jc w:val="both"/>
        <w:rPr>
          <w:rFonts w:ascii="Tahoma" w:hAnsi="Tahoma" w:cs="Tahoma"/>
          <w:bCs/>
          <w:iCs/>
          <w:sz w:val="16"/>
          <w:szCs w:val="16"/>
          <w:lang w:val="el-GR"/>
        </w:rPr>
      </w:pPr>
    </w:p>
    <w:p w:rsidR="006E6B9D" w:rsidRPr="001C18ED" w:rsidRDefault="00B8695A" w:rsidP="00744502">
      <w:pPr>
        <w:numPr>
          <w:ilvl w:val="0"/>
          <w:numId w:val="5"/>
        </w:numPr>
        <w:ind w:left="0" w:firstLine="0"/>
        <w:jc w:val="both"/>
        <w:rPr>
          <w:rFonts w:ascii="Tahoma" w:hAnsi="Tahoma" w:cs="Tahoma"/>
          <w:b/>
          <w:bCs/>
          <w:iCs/>
          <w:sz w:val="22"/>
          <w:szCs w:val="22"/>
          <w:lang w:val="el-GR"/>
        </w:rPr>
      </w:pPr>
      <w:r w:rsidRPr="001C18ED">
        <w:rPr>
          <w:rFonts w:ascii="Tahoma" w:hAnsi="Tahoma" w:cs="Tahoma"/>
          <w:b/>
          <w:bCs/>
          <w:iCs/>
          <w:sz w:val="22"/>
          <w:szCs w:val="22"/>
          <w:lang w:val="el-GR"/>
        </w:rPr>
        <w:t>Η ΒΙΩΣΙΜΗ ΑΝΑΠΤΥΞΗ ΩΣ ΣΗΜ</w:t>
      </w:r>
      <w:r w:rsidR="00ED059E">
        <w:rPr>
          <w:rFonts w:ascii="Tahoma" w:hAnsi="Tahoma" w:cs="Tahoma"/>
          <w:b/>
          <w:bCs/>
          <w:iCs/>
          <w:sz w:val="22"/>
          <w:szCs w:val="22"/>
          <w:lang w:val="el-GR"/>
        </w:rPr>
        <w:t>ΕΙΟ ΑΝΑΣΥΝΤΑΞΗΣ ΤΩΝ ΧΩΡΙΚΩΝ</w:t>
      </w:r>
      <w:r w:rsidRPr="001C18ED">
        <w:rPr>
          <w:rFonts w:ascii="Tahoma" w:hAnsi="Tahoma" w:cs="Tahoma"/>
          <w:b/>
          <w:bCs/>
          <w:iCs/>
          <w:sz w:val="22"/>
          <w:szCs w:val="22"/>
          <w:lang w:val="el-GR"/>
        </w:rPr>
        <w:t xml:space="preserve"> ΠΟΛΙΤΙΚΩΝ  </w:t>
      </w:r>
    </w:p>
    <w:p w:rsidR="009C208F" w:rsidRPr="00E85925" w:rsidRDefault="009C208F" w:rsidP="00744502">
      <w:pPr>
        <w:spacing w:line="360" w:lineRule="auto"/>
        <w:jc w:val="both"/>
        <w:rPr>
          <w:rFonts w:ascii="Tahoma" w:hAnsi="Tahoma" w:cs="Tahoma"/>
          <w:bCs/>
          <w:iCs/>
          <w:sz w:val="16"/>
          <w:szCs w:val="16"/>
          <w:lang w:val="el-GR"/>
        </w:rPr>
      </w:pPr>
    </w:p>
    <w:p w:rsidR="008734D6" w:rsidRPr="001C18ED" w:rsidRDefault="009C208F" w:rsidP="00ED059E">
      <w:pPr>
        <w:jc w:val="both"/>
        <w:rPr>
          <w:rFonts w:ascii="Tahoma" w:hAnsi="Tahoma" w:cs="Tahoma"/>
          <w:bCs/>
          <w:iCs/>
          <w:sz w:val="22"/>
          <w:szCs w:val="22"/>
          <w:lang w:val="el-GR"/>
        </w:rPr>
      </w:pPr>
      <w:r w:rsidRPr="001C18ED">
        <w:rPr>
          <w:rFonts w:ascii="Tahoma" w:hAnsi="Tahoma" w:cs="Tahoma"/>
          <w:bCs/>
          <w:iCs/>
          <w:sz w:val="22"/>
          <w:szCs w:val="22"/>
          <w:lang w:val="el-GR"/>
        </w:rPr>
        <w:t>Το περιεχόμενο της βιώσιμης ανάπτυξης- Ο χωρικός σχεδιασμός υπό το πρίσμα της βιώσιμης ανάπτυξης-  Η εξέλιξη των συστημάτων χωρικού σχεδιασμού μέσω της βιώσιμης ανάπτυξης- Ο χωρικός αντίκτυπος της κλιματικής αλλαγής- περιφερειακές και χωροταξικές πολιτικές προσαρμογής στην κλιματική αλλαγή- Εδαφική δικαιοσύνη και βιώσιμη ανάπτυξη- Η προσέγ</w:t>
      </w:r>
      <w:r w:rsidR="00ED059E">
        <w:rPr>
          <w:rFonts w:ascii="Tahoma" w:hAnsi="Tahoma" w:cs="Tahoma"/>
          <w:bCs/>
          <w:iCs/>
          <w:sz w:val="22"/>
          <w:szCs w:val="22"/>
          <w:lang w:val="el-GR"/>
        </w:rPr>
        <w:t>γιση των οικολογικών ανισοτήτων- το οικολογικό χρέος.</w:t>
      </w:r>
      <w:r w:rsidRPr="001C18ED">
        <w:rPr>
          <w:rFonts w:ascii="Tahoma" w:hAnsi="Tahoma" w:cs="Tahoma"/>
          <w:bCs/>
          <w:iCs/>
          <w:sz w:val="22"/>
          <w:szCs w:val="22"/>
          <w:lang w:val="el-GR"/>
        </w:rPr>
        <w:t xml:space="preserve"> </w:t>
      </w:r>
    </w:p>
    <w:p w:rsidR="00ED059E" w:rsidRPr="001C18ED" w:rsidRDefault="00ED059E" w:rsidP="00ED059E">
      <w:pPr>
        <w:rPr>
          <w:rFonts w:ascii="Tahoma" w:hAnsi="Tahoma" w:cs="Tahoma"/>
          <w:sz w:val="22"/>
          <w:szCs w:val="22"/>
          <w:lang w:val="el-GR"/>
        </w:rPr>
      </w:pPr>
      <w:r w:rsidRPr="00ED059E">
        <w:rPr>
          <w:rFonts w:ascii="Tahoma" w:hAnsi="Tahoma" w:cs="Tahoma"/>
          <w:b/>
          <w:bCs/>
          <w:iCs/>
          <w:sz w:val="22"/>
          <w:szCs w:val="22"/>
          <w:lang w:val="el-GR"/>
        </w:rPr>
        <w:t>Βασική πηγή :</w:t>
      </w:r>
      <w:r>
        <w:rPr>
          <w:rFonts w:ascii="Tahoma" w:hAnsi="Tahoma" w:cs="Tahoma"/>
          <w:bCs/>
          <w:iCs/>
          <w:sz w:val="22"/>
          <w:szCs w:val="22"/>
          <w:lang w:val="el-G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Κυβέλου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Στ.</w:t>
      </w:r>
      <w:r w:rsidRPr="001C18ED">
        <w:rPr>
          <w:rFonts w:ascii="Tahoma" w:hAnsi="Tahoma" w:cs="Tahoma"/>
          <w:sz w:val="22"/>
          <w:szCs w:val="22"/>
          <w:lang w:val="el-GR"/>
        </w:rPr>
        <w:t xml:space="preserve">, Από τη χωροταξία στη </w:t>
      </w:r>
      <w:proofErr w:type="spellStart"/>
      <w:r w:rsidRPr="001C18ED">
        <w:rPr>
          <w:rFonts w:ascii="Tahoma" w:hAnsi="Tahoma" w:cs="Tahoma"/>
          <w:sz w:val="22"/>
          <w:szCs w:val="22"/>
          <w:lang w:val="el-GR"/>
        </w:rPr>
        <w:t>χωροδιαχείριση</w:t>
      </w:r>
      <w:proofErr w:type="spellEnd"/>
      <w:r w:rsidRPr="001C18ED">
        <w:rPr>
          <w:rFonts w:ascii="Tahoma" w:hAnsi="Tahoma" w:cs="Tahoma"/>
          <w:sz w:val="22"/>
          <w:szCs w:val="22"/>
          <w:lang w:val="el-GR"/>
        </w:rPr>
        <w:t>, Εκδόσεις ΚΡΙΤΙΚΗ, Αθήνα, 2010</w:t>
      </w:r>
    </w:p>
    <w:p w:rsidR="008734D6" w:rsidRPr="00E85925" w:rsidRDefault="008734D6" w:rsidP="00ED059E">
      <w:pPr>
        <w:jc w:val="both"/>
        <w:rPr>
          <w:rFonts w:ascii="Tahoma" w:hAnsi="Tahoma" w:cs="Tahoma"/>
          <w:bCs/>
          <w:iCs/>
          <w:sz w:val="16"/>
          <w:szCs w:val="16"/>
          <w:lang w:val="el-GR"/>
        </w:rPr>
      </w:pPr>
    </w:p>
    <w:p w:rsidR="006E6B9D" w:rsidRPr="001C18ED" w:rsidRDefault="006E6B9D" w:rsidP="00744502">
      <w:pPr>
        <w:numPr>
          <w:ilvl w:val="0"/>
          <w:numId w:val="5"/>
        </w:numPr>
        <w:ind w:left="0" w:firstLine="0"/>
        <w:jc w:val="both"/>
        <w:rPr>
          <w:rFonts w:ascii="Tahoma" w:hAnsi="Tahoma" w:cs="Tahoma"/>
          <w:b/>
          <w:bCs/>
          <w:iCs/>
          <w:sz w:val="22"/>
          <w:szCs w:val="22"/>
          <w:lang w:val="el-GR"/>
        </w:rPr>
      </w:pPr>
      <w:r w:rsidRPr="001C18ED">
        <w:rPr>
          <w:rFonts w:ascii="Tahoma" w:hAnsi="Tahoma" w:cs="Tahoma"/>
          <w:b/>
          <w:bCs/>
          <w:iCs/>
          <w:sz w:val="22"/>
          <w:szCs w:val="22"/>
          <w:lang w:val="el-GR"/>
        </w:rPr>
        <w:t>ΠΟΛΗ, ΓΕΙΤΟΝΙΑ ΚΑΙ ΒΙΩΣΙΜΗ ΑΝΑΠΤΥΞΗ</w:t>
      </w:r>
      <w:r w:rsidR="008734D6" w:rsidRPr="001C18ED">
        <w:rPr>
          <w:rFonts w:ascii="Tahoma" w:hAnsi="Tahoma" w:cs="Tahoma"/>
          <w:b/>
          <w:bCs/>
          <w:iCs/>
          <w:sz w:val="22"/>
          <w:szCs w:val="22"/>
          <w:lang w:val="el-GR"/>
        </w:rPr>
        <w:t xml:space="preserve">- </w:t>
      </w:r>
      <w:r w:rsidR="009C208F" w:rsidRPr="001C18ED">
        <w:rPr>
          <w:rFonts w:ascii="Tahoma" w:hAnsi="Tahoma" w:cs="Tahoma"/>
          <w:b/>
          <w:bCs/>
          <w:iCs/>
          <w:sz w:val="22"/>
          <w:szCs w:val="22"/>
          <w:lang w:val="el-GR"/>
        </w:rPr>
        <w:t xml:space="preserve">ΒΙΩΣΙΜΗ ΑΣΤΙΚΗ ΑΝΑΠΤΥΞΗ- </w:t>
      </w:r>
      <w:r w:rsidR="008734D6" w:rsidRPr="001C18ED">
        <w:rPr>
          <w:rFonts w:ascii="Tahoma" w:hAnsi="Tahoma" w:cs="Tahoma"/>
          <w:b/>
          <w:bCs/>
          <w:iCs/>
          <w:sz w:val="22"/>
          <w:szCs w:val="22"/>
          <w:lang w:val="el-GR"/>
        </w:rPr>
        <w:t xml:space="preserve">ΑΕΙΦΟΡΙΚΕΣ ΠΟΛΕΟΔΟΜΙΚΕΣ ΠΡΑΚΤΙΚΕΣ </w:t>
      </w:r>
      <w:r w:rsidRPr="001C18ED">
        <w:rPr>
          <w:rFonts w:ascii="Tahoma" w:hAnsi="Tahoma" w:cs="Tahoma"/>
          <w:b/>
          <w:bCs/>
          <w:iCs/>
          <w:sz w:val="22"/>
          <w:szCs w:val="22"/>
          <w:lang w:val="el-GR"/>
        </w:rPr>
        <w:t xml:space="preserve"> </w:t>
      </w:r>
    </w:p>
    <w:p w:rsidR="008734D6" w:rsidRPr="00E85925" w:rsidRDefault="008734D6" w:rsidP="00744502">
      <w:pPr>
        <w:jc w:val="both"/>
        <w:rPr>
          <w:rFonts w:ascii="Tahoma" w:hAnsi="Tahoma" w:cs="Tahoma"/>
          <w:bCs/>
          <w:iCs/>
          <w:sz w:val="16"/>
          <w:szCs w:val="16"/>
          <w:lang w:val="el-GR"/>
        </w:rPr>
      </w:pPr>
    </w:p>
    <w:p w:rsidR="00ED059E" w:rsidRDefault="009E1B3D" w:rsidP="00ED059E">
      <w:pPr>
        <w:jc w:val="both"/>
        <w:rPr>
          <w:rFonts w:ascii="Tahoma" w:hAnsi="Tahoma" w:cs="Tahoma"/>
          <w:bCs/>
          <w:iCs/>
          <w:sz w:val="22"/>
          <w:szCs w:val="22"/>
          <w:lang w:val="el-GR"/>
        </w:rPr>
      </w:pPr>
      <w:r>
        <w:rPr>
          <w:rFonts w:ascii="Tahoma" w:hAnsi="Tahoma" w:cs="Tahoma"/>
          <w:bCs/>
          <w:iCs/>
          <w:sz w:val="22"/>
          <w:szCs w:val="22"/>
          <w:lang w:val="el-GR"/>
        </w:rPr>
        <w:t xml:space="preserve">Τα προβλήματα περιβάλλοντος στις πόλεις- </w:t>
      </w:r>
      <w:r w:rsidR="00744502" w:rsidRPr="001C18ED">
        <w:rPr>
          <w:rFonts w:ascii="Tahoma" w:hAnsi="Tahoma" w:cs="Tahoma"/>
          <w:bCs/>
          <w:iCs/>
          <w:sz w:val="22"/>
          <w:szCs w:val="22"/>
          <w:lang w:val="el-GR"/>
        </w:rPr>
        <w:t xml:space="preserve">Βιώσιμη αστική ανάπτυξη- Η παγκόσμια και η ευρωπαική διάσταση- Πρωτοβουλίες των Ηνωμένων Εθνών για τη βιώσιμη αστική ανάπτυξη- </w:t>
      </w:r>
      <w:r w:rsidR="00744502" w:rsidRPr="001C18ED">
        <w:rPr>
          <w:rFonts w:ascii="Tahoma" w:hAnsi="Tahoma" w:cs="Tahoma"/>
          <w:bCs/>
          <w:iCs/>
          <w:sz w:val="22"/>
          <w:szCs w:val="22"/>
        </w:rPr>
        <w:t>H</w:t>
      </w:r>
      <w:r w:rsidR="00ED059E">
        <w:rPr>
          <w:rFonts w:ascii="Tahoma" w:hAnsi="Tahoma" w:cs="Tahoma"/>
          <w:bCs/>
          <w:iCs/>
          <w:sz w:val="22"/>
          <w:szCs w:val="22"/>
          <w:lang w:val="el-GR"/>
        </w:rPr>
        <w:t xml:space="preserve"> Τ</w:t>
      </w:r>
      <w:r w:rsidR="00744502" w:rsidRPr="001C18ED">
        <w:rPr>
          <w:rFonts w:ascii="Tahoma" w:hAnsi="Tahoma" w:cs="Tahoma"/>
          <w:bCs/>
          <w:iCs/>
          <w:sz w:val="22"/>
          <w:szCs w:val="22"/>
          <w:lang w:val="el-GR"/>
        </w:rPr>
        <w:t xml:space="preserve">οπική Αgenda 21- Τοπική Δράση 21- Η </w:t>
      </w:r>
      <w:r w:rsidR="00744502" w:rsidRPr="001C18ED">
        <w:rPr>
          <w:rFonts w:ascii="Tahoma" w:hAnsi="Tahoma" w:cs="Tahoma"/>
          <w:bCs/>
          <w:iCs/>
          <w:sz w:val="22"/>
          <w:szCs w:val="22"/>
        </w:rPr>
        <w:t>H</w:t>
      </w:r>
      <w:r w:rsidR="00744502" w:rsidRPr="001C18ED">
        <w:rPr>
          <w:rFonts w:ascii="Tahoma" w:hAnsi="Tahoma" w:cs="Tahoma"/>
          <w:bCs/>
          <w:iCs/>
          <w:sz w:val="22"/>
          <w:szCs w:val="22"/>
          <w:lang w:val="el-GR"/>
        </w:rPr>
        <w:t xml:space="preserve">abitat Agenda- </w:t>
      </w:r>
      <w:r w:rsidR="00744502" w:rsidRPr="001C18ED">
        <w:rPr>
          <w:rFonts w:ascii="Tahoma" w:hAnsi="Tahoma" w:cs="Tahoma"/>
          <w:bCs/>
          <w:iCs/>
          <w:sz w:val="22"/>
          <w:szCs w:val="22"/>
        </w:rPr>
        <w:t>O</w:t>
      </w:r>
      <w:r w:rsidR="00744502" w:rsidRPr="001C18ED">
        <w:rPr>
          <w:rFonts w:ascii="Tahoma" w:hAnsi="Tahoma" w:cs="Tahoma"/>
          <w:bCs/>
          <w:iCs/>
          <w:sz w:val="22"/>
          <w:szCs w:val="22"/>
          <w:lang w:val="el-GR"/>
        </w:rPr>
        <w:t>ι ευρωπαικές διασκέψεις για τις βιώσιμες πόλεις – Οι ευρωπαικές πολιτικές που συνεισφέρουν στη βιώσιμη αστική ανάπτυξη- Η Πολιτική π</w:t>
      </w:r>
      <w:r w:rsidR="00ED059E">
        <w:rPr>
          <w:rFonts w:ascii="Tahoma" w:hAnsi="Tahoma" w:cs="Tahoma"/>
          <w:bCs/>
          <w:iCs/>
          <w:sz w:val="22"/>
          <w:szCs w:val="22"/>
          <w:lang w:val="el-GR"/>
        </w:rPr>
        <w:t xml:space="preserve">εριβάλλοντος και οι πόλεις-  </w:t>
      </w:r>
      <w:r w:rsidR="00744502" w:rsidRPr="001C18ED">
        <w:rPr>
          <w:rFonts w:ascii="Tahoma" w:hAnsi="Tahoma" w:cs="Tahoma"/>
          <w:bCs/>
          <w:iCs/>
          <w:sz w:val="22"/>
          <w:szCs w:val="22"/>
          <w:lang w:val="el-GR"/>
        </w:rPr>
        <w:t>Η πολιτική συ</w:t>
      </w:r>
      <w:r w:rsidR="00ED059E">
        <w:rPr>
          <w:rFonts w:ascii="Tahoma" w:hAnsi="Tahoma" w:cs="Tahoma"/>
          <w:bCs/>
          <w:iCs/>
          <w:sz w:val="22"/>
          <w:szCs w:val="22"/>
          <w:lang w:val="el-GR"/>
        </w:rPr>
        <w:t>νοχής και οι πόλεις- Οι αειφόροι</w:t>
      </w:r>
      <w:r w:rsidR="00744502" w:rsidRPr="001C18ED">
        <w:rPr>
          <w:rFonts w:ascii="Tahoma" w:hAnsi="Tahoma" w:cs="Tahoma"/>
          <w:bCs/>
          <w:iCs/>
          <w:sz w:val="22"/>
          <w:szCs w:val="22"/>
          <w:lang w:val="el-GR"/>
        </w:rPr>
        <w:t xml:space="preserve"> γειτονιές</w:t>
      </w:r>
      <w:r w:rsidR="00ED059E">
        <w:rPr>
          <w:rFonts w:ascii="Tahoma" w:hAnsi="Tahoma" w:cs="Tahoma"/>
          <w:bCs/>
          <w:iCs/>
          <w:sz w:val="22"/>
          <w:szCs w:val="22"/>
          <w:lang w:val="el-GR"/>
        </w:rPr>
        <w:t xml:space="preserve">/ </w:t>
      </w:r>
      <w:proofErr w:type="spellStart"/>
      <w:r w:rsidR="00ED059E">
        <w:rPr>
          <w:rFonts w:ascii="Tahoma" w:hAnsi="Tahoma" w:cs="Tahoma"/>
          <w:bCs/>
          <w:iCs/>
          <w:sz w:val="22"/>
          <w:szCs w:val="22"/>
          <w:lang w:val="el-GR"/>
        </w:rPr>
        <w:t>οικογειτονιές</w:t>
      </w:r>
      <w:proofErr w:type="spellEnd"/>
      <w:r w:rsidR="00744502" w:rsidRPr="001C18ED">
        <w:rPr>
          <w:rFonts w:ascii="Tahoma" w:hAnsi="Tahoma" w:cs="Tahoma"/>
          <w:bCs/>
          <w:iCs/>
          <w:sz w:val="22"/>
          <w:szCs w:val="22"/>
          <w:lang w:val="el-GR"/>
        </w:rPr>
        <w:t xml:space="preserve"> - </w:t>
      </w:r>
      <w:proofErr w:type="spellStart"/>
      <w:r w:rsidR="00744502" w:rsidRPr="001C18ED">
        <w:rPr>
          <w:rFonts w:ascii="Tahoma" w:hAnsi="Tahoma" w:cs="Tahoma"/>
          <w:bCs/>
          <w:iCs/>
          <w:sz w:val="22"/>
          <w:szCs w:val="22"/>
          <w:lang w:val="el-GR"/>
        </w:rPr>
        <w:t>Ευρωπαική</w:t>
      </w:r>
      <w:proofErr w:type="spellEnd"/>
      <w:r w:rsidR="00744502" w:rsidRPr="001C18ED">
        <w:rPr>
          <w:rFonts w:ascii="Tahoma" w:hAnsi="Tahoma" w:cs="Tahoma"/>
          <w:bCs/>
          <w:iCs/>
          <w:sz w:val="22"/>
          <w:szCs w:val="22"/>
          <w:lang w:val="el-GR"/>
        </w:rPr>
        <w:t xml:space="preserve"> εμπειρία  - Μελέτες περιπτώσεων- Αειφόρες αστικές παρεμβάσεις στην Ελλάδα </w:t>
      </w:r>
      <w:r>
        <w:rPr>
          <w:rFonts w:ascii="Tahoma" w:hAnsi="Tahoma" w:cs="Tahoma"/>
          <w:bCs/>
          <w:iCs/>
          <w:sz w:val="22"/>
          <w:szCs w:val="22"/>
          <w:lang w:val="el-GR"/>
        </w:rPr>
        <w:t xml:space="preserve">– Αστική φτώχεια και κοινωνικός αποκλεισμός- Η διάσταση της συγκινησιακής πόλης ως στοιχείο της </w:t>
      </w:r>
      <w:proofErr w:type="spellStart"/>
      <w:r>
        <w:rPr>
          <w:rFonts w:ascii="Tahoma" w:hAnsi="Tahoma" w:cs="Tahoma"/>
          <w:bCs/>
          <w:iCs/>
          <w:sz w:val="22"/>
          <w:szCs w:val="22"/>
          <w:lang w:val="el-GR"/>
        </w:rPr>
        <w:t>αειφορίας</w:t>
      </w:r>
      <w:proofErr w:type="spellEnd"/>
      <w:r>
        <w:rPr>
          <w:rFonts w:ascii="Tahoma" w:hAnsi="Tahoma" w:cs="Tahoma"/>
          <w:bCs/>
          <w:iCs/>
          <w:sz w:val="22"/>
          <w:szCs w:val="22"/>
          <w:lang w:val="el-GR"/>
        </w:rPr>
        <w:t xml:space="preserve">- Ο θόρυβος μέσα στην πόλη, αντιμετώπιση και βελτίωση του ηχητικού περιβάλλοντος.  </w:t>
      </w:r>
    </w:p>
    <w:p w:rsidR="00ED059E" w:rsidRDefault="00ED059E" w:rsidP="00ED059E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ED059E">
        <w:rPr>
          <w:rFonts w:ascii="Tahoma" w:hAnsi="Tahoma" w:cs="Tahoma"/>
          <w:b/>
          <w:bCs/>
          <w:iCs/>
          <w:sz w:val="22"/>
          <w:szCs w:val="22"/>
          <w:lang w:val="el-GR"/>
        </w:rPr>
        <w:t>Βασική πηγή :</w:t>
      </w:r>
      <w:r>
        <w:rPr>
          <w:rFonts w:ascii="Tahoma" w:hAnsi="Tahoma" w:cs="Tahoma"/>
          <w:bCs/>
          <w:iCs/>
          <w:sz w:val="22"/>
          <w:szCs w:val="22"/>
          <w:lang w:val="el-GR"/>
        </w:rPr>
        <w:t xml:space="preserve"> </w:t>
      </w:r>
      <w:proofErr w:type="spellStart"/>
      <w:r w:rsidRPr="001C18ED">
        <w:rPr>
          <w:rFonts w:ascii="Tahoma" w:hAnsi="Tahoma" w:cs="Tahoma"/>
          <w:sz w:val="22"/>
          <w:szCs w:val="22"/>
          <w:lang w:val="el-GR"/>
        </w:rPr>
        <w:t>Καυκαλάς</w:t>
      </w:r>
      <w:proofErr w:type="spellEnd"/>
      <w:r w:rsidRPr="001C18ED"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 w:rsidRPr="001C18ED">
        <w:rPr>
          <w:rFonts w:ascii="Tahoma" w:hAnsi="Tahoma" w:cs="Tahoma"/>
          <w:sz w:val="22"/>
          <w:szCs w:val="22"/>
          <w:lang w:val="el-GR"/>
        </w:rPr>
        <w:t>Γ.,κ.ά</w:t>
      </w:r>
      <w:proofErr w:type="spellEnd"/>
      <w:r w:rsidRPr="001C18ED">
        <w:rPr>
          <w:rFonts w:ascii="Tahoma" w:hAnsi="Tahoma" w:cs="Tahoma"/>
          <w:sz w:val="22"/>
          <w:szCs w:val="22"/>
          <w:lang w:val="el-GR"/>
        </w:rPr>
        <w:t>, Πόλη και πολεοδομικές πρακτικές, για τη βιώσιμη αστική ανάπτυξη, ΚΡΙΤΙΚΗ, Αθήνα, 2007</w:t>
      </w:r>
    </w:p>
    <w:p w:rsidR="009E1B3D" w:rsidRPr="00ED059E" w:rsidRDefault="009E1B3D" w:rsidP="00ED059E">
      <w:pPr>
        <w:jc w:val="both"/>
        <w:rPr>
          <w:rFonts w:ascii="Tahoma" w:hAnsi="Tahoma" w:cs="Tahoma"/>
          <w:bCs/>
          <w:iCs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και άρθρα της διδάσκουσας.</w:t>
      </w:r>
    </w:p>
    <w:p w:rsidR="00411E1C" w:rsidRPr="00E85925" w:rsidRDefault="00411E1C" w:rsidP="00744502">
      <w:pPr>
        <w:spacing w:line="360" w:lineRule="auto"/>
        <w:jc w:val="both"/>
        <w:rPr>
          <w:rFonts w:ascii="Tahoma" w:hAnsi="Tahoma" w:cs="Tahoma"/>
          <w:bCs/>
          <w:iCs/>
          <w:sz w:val="16"/>
          <w:szCs w:val="16"/>
          <w:lang w:val="el-GR"/>
        </w:rPr>
      </w:pPr>
    </w:p>
    <w:p w:rsidR="008734D6" w:rsidRPr="001C18ED" w:rsidRDefault="006E6B9D" w:rsidP="00744502">
      <w:pPr>
        <w:numPr>
          <w:ilvl w:val="0"/>
          <w:numId w:val="5"/>
        </w:numPr>
        <w:ind w:left="-120" w:firstLine="120"/>
        <w:jc w:val="both"/>
        <w:rPr>
          <w:rFonts w:ascii="Tahoma" w:hAnsi="Tahoma" w:cs="Tahoma"/>
          <w:b/>
          <w:bCs/>
          <w:iCs/>
          <w:sz w:val="22"/>
          <w:szCs w:val="22"/>
          <w:lang w:val="el-GR"/>
        </w:rPr>
      </w:pPr>
      <w:r w:rsidRPr="001C18ED">
        <w:rPr>
          <w:rFonts w:ascii="Tahoma" w:hAnsi="Tahoma" w:cs="Tahoma"/>
          <w:b/>
          <w:bCs/>
          <w:iCs/>
          <w:sz w:val="22"/>
          <w:szCs w:val="22"/>
          <w:lang w:val="el-GR"/>
        </w:rPr>
        <w:t xml:space="preserve">ΠΟΛΙΤΙΚΗ ΚΑΤΟΙΚΙΑΣ ΚΑΙ ΒΙΩΣΙΜΗ ΑΝΑΠΤΥΞΗ </w:t>
      </w:r>
    </w:p>
    <w:p w:rsidR="00411E1C" w:rsidRDefault="009C208F" w:rsidP="00ED059E">
      <w:pPr>
        <w:numPr>
          <w:ilvl w:val="1"/>
          <w:numId w:val="5"/>
        </w:numPr>
        <w:ind w:left="0" w:firstLine="0"/>
        <w:jc w:val="both"/>
        <w:rPr>
          <w:rFonts w:ascii="Tahoma" w:hAnsi="Tahoma" w:cs="Tahoma"/>
          <w:sz w:val="22"/>
          <w:szCs w:val="22"/>
          <w:lang w:val="el-GR"/>
        </w:rPr>
      </w:pPr>
      <w:r w:rsidRPr="001C18ED">
        <w:rPr>
          <w:rFonts w:ascii="Tahoma" w:hAnsi="Tahoma" w:cs="Tahoma"/>
          <w:sz w:val="22"/>
          <w:szCs w:val="22"/>
          <w:u w:val="single"/>
          <w:lang w:val="el-GR"/>
        </w:rPr>
        <w:t>Πολιτική κατοικίας και αειφορία</w:t>
      </w:r>
      <w:r w:rsidR="005A18C5" w:rsidRPr="001C18ED">
        <w:rPr>
          <w:rFonts w:ascii="Tahoma" w:hAnsi="Tahoma" w:cs="Tahoma"/>
          <w:sz w:val="22"/>
          <w:szCs w:val="22"/>
          <w:u w:val="single"/>
          <w:lang w:val="el-GR"/>
        </w:rPr>
        <w:t xml:space="preserve"> </w:t>
      </w:r>
      <w:r w:rsidRPr="001C18ED">
        <w:rPr>
          <w:rFonts w:ascii="Tahoma" w:hAnsi="Tahoma" w:cs="Tahoma"/>
          <w:sz w:val="22"/>
          <w:szCs w:val="22"/>
          <w:lang w:val="el-GR"/>
        </w:rPr>
        <w:t>: Η βιώσιμη ανάπτυξη στον τομέα της κατοικίας- οικολογικές κοινωνικές και οικονομικές διαστάσεις- Αειφορική κοινωνική κατοικία (</w:t>
      </w:r>
      <w:r w:rsidRPr="001C18ED">
        <w:rPr>
          <w:rFonts w:ascii="Tahoma" w:hAnsi="Tahoma" w:cs="Tahoma"/>
          <w:sz w:val="22"/>
          <w:szCs w:val="22"/>
        </w:rPr>
        <w:t>socially</w:t>
      </w:r>
      <w:r w:rsidRPr="001C18ED">
        <w:rPr>
          <w:rFonts w:ascii="Tahoma" w:hAnsi="Tahoma" w:cs="Tahoma"/>
          <w:sz w:val="22"/>
          <w:szCs w:val="22"/>
          <w:lang w:val="el-GR"/>
        </w:rPr>
        <w:t xml:space="preserve"> </w:t>
      </w:r>
      <w:r w:rsidRPr="001C18ED">
        <w:rPr>
          <w:rFonts w:ascii="Tahoma" w:hAnsi="Tahoma" w:cs="Tahoma"/>
          <w:sz w:val="22"/>
          <w:szCs w:val="22"/>
        </w:rPr>
        <w:t>sustainable</w:t>
      </w:r>
      <w:r w:rsidRPr="001C18ED">
        <w:rPr>
          <w:rFonts w:ascii="Tahoma" w:hAnsi="Tahoma" w:cs="Tahoma"/>
          <w:sz w:val="22"/>
          <w:szCs w:val="22"/>
          <w:lang w:val="el-GR"/>
        </w:rPr>
        <w:t xml:space="preserve"> </w:t>
      </w:r>
      <w:r w:rsidRPr="001C18ED">
        <w:rPr>
          <w:rFonts w:ascii="Tahoma" w:hAnsi="Tahoma" w:cs="Tahoma"/>
          <w:sz w:val="22"/>
          <w:szCs w:val="22"/>
        </w:rPr>
        <w:t>housing</w:t>
      </w:r>
      <w:r w:rsidRPr="001C18ED">
        <w:rPr>
          <w:rFonts w:ascii="Tahoma" w:hAnsi="Tahoma" w:cs="Tahoma"/>
          <w:sz w:val="22"/>
          <w:szCs w:val="22"/>
          <w:lang w:val="el-GR"/>
        </w:rPr>
        <w:t xml:space="preserve">), Προσέγγιση της κατοικίας με οικολογικά κριτήρια, Μέθοδοι εκτίμησης απόδοσης βιώσιμης κατοικίας, Δείκτες βιωσιμότητας κτιρίων και πόλεων, Ευρωπαϊκή πολιτική για την αειφορική κατοικία, Βασικά εργαλεία πολιτικής (κανονιστικά, </w:t>
      </w:r>
      <w:r w:rsidRPr="001C18ED">
        <w:rPr>
          <w:rFonts w:ascii="Tahoma" w:hAnsi="Tahoma" w:cs="Tahoma"/>
          <w:sz w:val="22"/>
          <w:szCs w:val="22"/>
          <w:lang w:val="el-GR"/>
        </w:rPr>
        <w:lastRenderedPageBreak/>
        <w:t xml:space="preserve">φορολογικά, οικονομικά, εθελοντικές συμφωνίες κ.λπ.), Προγράμματα Διεθνών Οργανισμών και διεθνής συνεργασία για την αειφορική κατοικία- </w:t>
      </w:r>
      <w:r w:rsidR="005A18C5" w:rsidRPr="001C18ED">
        <w:rPr>
          <w:rFonts w:ascii="Tahoma" w:hAnsi="Tahoma" w:cs="Tahoma"/>
          <w:sz w:val="22"/>
          <w:szCs w:val="22"/>
          <w:lang w:val="el-GR"/>
        </w:rPr>
        <w:t xml:space="preserve"> </w:t>
      </w:r>
    </w:p>
    <w:p w:rsidR="00744502" w:rsidRPr="00E85925" w:rsidRDefault="009C208F" w:rsidP="00E85925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411E1C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3.2 </w:t>
      </w:r>
      <w:r w:rsidRPr="00411E1C">
        <w:rPr>
          <w:rFonts w:ascii="Tahoma" w:hAnsi="Tahoma" w:cs="Tahoma"/>
          <w:sz w:val="22"/>
          <w:szCs w:val="22"/>
          <w:u w:val="single"/>
          <w:lang w:val="el-GR"/>
        </w:rPr>
        <w:t>Πράσινη κατασκευή και πράσινη αξία :</w:t>
      </w:r>
      <w:r w:rsidR="005A18C5" w:rsidRPr="00411E1C">
        <w:rPr>
          <w:rFonts w:ascii="Tahoma" w:hAnsi="Tahoma" w:cs="Tahoma"/>
          <w:sz w:val="22"/>
          <w:szCs w:val="22"/>
          <w:lang w:val="el-GR"/>
        </w:rPr>
        <w:t xml:space="preserve"> </w:t>
      </w:r>
      <w:r w:rsidRPr="00411E1C">
        <w:rPr>
          <w:rFonts w:ascii="Tahoma" w:hAnsi="Tahoma" w:cs="Tahoma"/>
          <w:sz w:val="22"/>
          <w:szCs w:val="22"/>
          <w:lang w:val="el-GR"/>
        </w:rPr>
        <w:t>Ανάλυση και κόστος κύκλου ζωής κατασκευών (</w:t>
      </w:r>
      <w:r w:rsidRPr="00411E1C">
        <w:rPr>
          <w:rFonts w:ascii="Tahoma" w:hAnsi="Tahoma" w:cs="Tahoma"/>
          <w:sz w:val="22"/>
          <w:szCs w:val="22"/>
        </w:rPr>
        <w:t>LCA</w:t>
      </w:r>
      <w:r w:rsidRPr="00411E1C">
        <w:rPr>
          <w:rFonts w:ascii="Tahoma" w:hAnsi="Tahoma" w:cs="Tahoma"/>
          <w:sz w:val="22"/>
          <w:szCs w:val="22"/>
          <w:lang w:val="el-GR"/>
        </w:rPr>
        <w:t xml:space="preserve">, </w:t>
      </w:r>
      <w:r w:rsidRPr="00411E1C">
        <w:rPr>
          <w:rFonts w:ascii="Tahoma" w:hAnsi="Tahoma" w:cs="Tahoma"/>
          <w:sz w:val="22"/>
          <w:szCs w:val="22"/>
        </w:rPr>
        <w:t>LCC</w:t>
      </w:r>
      <w:r w:rsidRPr="00411E1C">
        <w:rPr>
          <w:rFonts w:ascii="Tahoma" w:hAnsi="Tahoma" w:cs="Tahoma"/>
          <w:sz w:val="22"/>
          <w:szCs w:val="22"/>
          <w:lang w:val="el-GR"/>
        </w:rPr>
        <w:t xml:space="preserve">), Περιβαλλοντική ποιότητα κατοικίας και κτιρίων, Οικολογική δόμηση, Ο ρόλος της κατασκευαστικής βιομηχανίας, Διαδικασίες και μέθοδοι προτυποποίησης, Διαδικασίες και μέθοδοι πιστοποίησης  πράσινων κατασκευών, Πράσινη αξία ( green value ) </w:t>
      </w:r>
    </w:p>
    <w:p w:rsidR="00F96BB9" w:rsidRPr="00E85925" w:rsidRDefault="00F96BB9" w:rsidP="00E85925">
      <w:pPr>
        <w:jc w:val="both"/>
        <w:rPr>
          <w:rFonts w:ascii="Tahoma" w:hAnsi="Tahoma" w:cs="Tahoma"/>
          <w:b/>
          <w:szCs w:val="24"/>
          <w:u w:val="single"/>
          <w:lang w:val="el-GR"/>
        </w:rPr>
      </w:pPr>
      <w:r w:rsidRPr="001C18ED">
        <w:rPr>
          <w:rFonts w:ascii="Tahoma" w:hAnsi="Tahoma" w:cs="Tahoma"/>
          <w:b/>
          <w:szCs w:val="24"/>
          <w:u w:val="single"/>
          <w:lang w:val="el-GR"/>
        </w:rPr>
        <w:t xml:space="preserve">Τρόπος διεξαγωγής του μαθήματος και εξετάσεις: </w:t>
      </w:r>
      <w:r w:rsidR="005A18C5" w:rsidRPr="001C18ED">
        <w:rPr>
          <w:rFonts w:ascii="Tahoma" w:hAnsi="Tahoma" w:cs="Tahoma"/>
          <w:b/>
          <w:szCs w:val="24"/>
          <w:u w:val="single"/>
          <w:lang w:val="el-GR"/>
        </w:rPr>
        <w:t xml:space="preserve"> </w:t>
      </w:r>
      <w:r w:rsidRPr="001C18ED">
        <w:rPr>
          <w:rFonts w:ascii="Tahoma" w:hAnsi="Tahoma" w:cs="Tahoma"/>
          <w:szCs w:val="24"/>
          <w:lang w:val="el-GR"/>
        </w:rPr>
        <w:t xml:space="preserve">Το μάθημα θα γίνει με διαλέξεις και η εξέταση θα είναι </w:t>
      </w:r>
      <w:r w:rsidR="008734D6" w:rsidRPr="001C18ED">
        <w:rPr>
          <w:rFonts w:ascii="Tahoma" w:hAnsi="Tahoma" w:cs="Tahoma"/>
          <w:szCs w:val="24"/>
          <w:lang w:val="el-GR"/>
        </w:rPr>
        <w:t xml:space="preserve"> : </w:t>
      </w:r>
      <w:r w:rsidR="00E85925">
        <w:rPr>
          <w:rFonts w:ascii="Tahoma" w:hAnsi="Tahoma" w:cs="Tahoma"/>
          <w:b/>
          <w:szCs w:val="24"/>
          <w:u w:val="single"/>
          <w:lang w:val="el-GR"/>
        </w:rPr>
        <w:t xml:space="preserve">1. </w:t>
      </w:r>
      <w:r w:rsidR="00B8695A" w:rsidRPr="001C18ED">
        <w:rPr>
          <w:rFonts w:ascii="Tahoma" w:hAnsi="Tahoma" w:cs="Tahoma"/>
          <w:sz w:val="22"/>
          <w:szCs w:val="22"/>
          <w:lang w:val="el-GR"/>
        </w:rPr>
        <w:t>Γ</w:t>
      </w:r>
      <w:r w:rsidR="005A18C5" w:rsidRPr="001C18ED">
        <w:rPr>
          <w:rFonts w:ascii="Tahoma" w:hAnsi="Tahoma" w:cs="Tahoma"/>
          <w:sz w:val="22"/>
          <w:szCs w:val="22"/>
          <w:lang w:val="el-GR"/>
        </w:rPr>
        <w:t>ραπτό τεστ</w:t>
      </w:r>
      <w:r w:rsidR="00B8695A" w:rsidRPr="001C18ED">
        <w:rPr>
          <w:rFonts w:ascii="Tahoma" w:hAnsi="Tahoma" w:cs="Tahoma"/>
          <w:sz w:val="22"/>
          <w:szCs w:val="22"/>
          <w:lang w:val="el-GR"/>
        </w:rPr>
        <w:t xml:space="preserve"> </w:t>
      </w:r>
      <w:r w:rsidR="008734D6" w:rsidRPr="001C18ED">
        <w:rPr>
          <w:rFonts w:ascii="Tahoma" w:hAnsi="Tahoma" w:cs="Tahoma"/>
          <w:sz w:val="22"/>
          <w:szCs w:val="22"/>
          <w:lang w:val="el-GR"/>
        </w:rPr>
        <w:t xml:space="preserve"> </w:t>
      </w:r>
      <w:r w:rsidR="00B94E16" w:rsidRPr="001C18ED">
        <w:rPr>
          <w:rFonts w:ascii="Tahoma" w:hAnsi="Tahoma" w:cs="Tahoma"/>
          <w:sz w:val="22"/>
          <w:szCs w:val="22"/>
          <w:lang w:val="el-GR"/>
        </w:rPr>
        <w:t>( 50%)</w:t>
      </w:r>
      <w:r w:rsidR="005A18C5" w:rsidRPr="001C18ED">
        <w:rPr>
          <w:rFonts w:ascii="Tahoma" w:hAnsi="Tahoma" w:cs="Tahoma"/>
          <w:sz w:val="22"/>
          <w:szCs w:val="22"/>
          <w:lang w:val="el-GR"/>
        </w:rPr>
        <w:t xml:space="preserve"> </w:t>
      </w:r>
      <w:r w:rsidR="00E85925">
        <w:rPr>
          <w:rFonts w:ascii="Tahoma" w:hAnsi="Tahoma" w:cs="Tahoma"/>
          <w:b/>
          <w:szCs w:val="24"/>
          <w:u w:val="single"/>
          <w:lang w:val="el-GR"/>
        </w:rPr>
        <w:t xml:space="preserve">2. </w:t>
      </w:r>
      <w:r w:rsidR="005A18C5" w:rsidRPr="001C18ED">
        <w:rPr>
          <w:rFonts w:ascii="Tahoma" w:hAnsi="Tahoma" w:cs="Tahoma"/>
          <w:sz w:val="22"/>
          <w:szCs w:val="22"/>
          <w:lang w:val="el-GR"/>
        </w:rPr>
        <w:t>εκπόνηση</w:t>
      </w:r>
      <w:r w:rsidRPr="001C18ED">
        <w:rPr>
          <w:rFonts w:ascii="Tahoma" w:hAnsi="Tahoma" w:cs="Tahoma"/>
          <w:sz w:val="22"/>
          <w:szCs w:val="22"/>
          <w:lang w:val="el-GR"/>
        </w:rPr>
        <w:t>/παρουσίαση</w:t>
      </w:r>
      <w:r w:rsidR="005A18C5" w:rsidRPr="001C18ED">
        <w:rPr>
          <w:rFonts w:ascii="Tahoma" w:hAnsi="Tahoma" w:cs="Tahoma"/>
          <w:sz w:val="22"/>
          <w:szCs w:val="22"/>
          <w:lang w:val="el-GR"/>
        </w:rPr>
        <w:t xml:space="preserve"> </w:t>
      </w:r>
      <w:r w:rsidRPr="001C18ED">
        <w:rPr>
          <w:rFonts w:ascii="Tahoma" w:hAnsi="Tahoma" w:cs="Tahoma"/>
          <w:sz w:val="22"/>
          <w:szCs w:val="22"/>
          <w:lang w:val="el-GR"/>
        </w:rPr>
        <w:t xml:space="preserve"> ατομικών ή ομαδικών εργασιών. Ενδεικτικά θέματα εργασιών δίδονται </w:t>
      </w:r>
      <w:r w:rsidR="009C208F" w:rsidRPr="001C18ED">
        <w:rPr>
          <w:rFonts w:ascii="Tahoma" w:hAnsi="Tahoma" w:cs="Tahoma"/>
          <w:sz w:val="22"/>
          <w:szCs w:val="22"/>
          <w:lang w:val="el-GR"/>
        </w:rPr>
        <w:t xml:space="preserve">κατά τη διάρκεια των μαθημάτων </w:t>
      </w:r>
      <w:r w:rsidR="00B94E16" w:rsidRPr="001C18ED">
        <w:rPr>
          <w:rFonts w:ascii="Tahoma" w:hAnsi="Tahoma" w:cs="Tahoma"/>
          <w:sz w:val="22"/>
          <w:szCs w:val="22"/>
          <w:lang w:val="el-GR"/>
        </w:rPr>
        <w:t>(50%)</w:t>
      </w:r>
    </w:p>
    <w:p w:rsidR="008734D6" w:rsidRPr="00E85925" w:rsidRDefault="008734D6" w:rsidP="005A18C5">
      <w:pPr>
        <w:rPr>
          <w:rFonts w:ascii="Tahoma" w:hAnsi="Tahoma" w:cs="Tahoma"/>
          <w:sz w:val="16"/>
          <w:szCs w:val="16"/>
          <w:u w:val="single"/>
          <w:lang w:val="el-GR"/>
        </w:rPr>
      </w:pPr>
    </w:p>
    <w:p w:rsidR="00F96BB9" w:rsidRPr="001C18ED" w:rsidRDefault="00E85925" w:rsidP="005A18C5">
      <w:pPr>
        <w:ind w:left="-120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sz w:val="22"/>
          <w:szCs w:val="22"/>
          <w:lang w:val="el-GR"/>
        </w:rPr>
        <w:t xml:space="preserve">  </w:t>
      </w:r>
      <w:r w:rsidR="005A18C5" w:rsidRPr="001C18ED">
        <w:rPr>
          <w:rFonts w:ascii="Tahoma" w:hAnsi="Tahoma" w:cs="Tahoma"/>
          <w:b/>
          <w:sz w:val="22"/>
          <w:szCs w:val="22"/>
          <w:lang w:val="el-GR"/>
        </w:rPr>
        <w:t xml:space="preserve">ΒΑΣΙΚΗ  </w:t>
      </w:r>
      <w:r w:rsidR="00F96BB9" w:rsidRPr="001C18ED">
        <w:rPr>
          <w:rFonts w:ascii="Tahoma" w:hAnsi="Tahoma" w:cs="Tahoma"/>
          <w:b/>
          <w:sz w:val="22"/>
          <w:szCs w:val="22"/>
          <w:lang w:val="el-GR"/>
        </w:rPr>
        <w:t>ΒΙΒΛΙΟΓΡΑΦΙΑ</w:t>
      </w:r>
      <w:r w:rsidR="005A18C5" w:rsidRPr="001C18ED">
        <w:rPr>
          <w:rFonts w:ascii="Tahoma" w:hAnsi="Tahoma" w:cs="Tahoma"/>
          <w:b/>
          <w:sz w:val="22"/>
          <w:szCs w:val="22"/>
          <w:lang w:val="el-GR"/>
        </w:rPr>
        <w:t xml:space="preserve"> </w:t>
      </w:r>
    </w:p>
    <w:p w:rsidR="00E85925" w:rsidRPr="0086274B" w:rsidRDefault="00E85925" w:rsidP="00E85925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rPr>
          <w:rFonts w:ascii="Tahoma" w:hAnsi="Tahoma" w:cs="Tahoma"/>
          <w:sz w:val="20"/>
          <w:lang w:val="el-GR"/>
        </w:rPr>
      </w:pPr>
      <w:proofErr w:type="spellStart"/>
      <w:r w:rsidRPr="0086274B">
        <w:rPr>
          <w:rFonts w:ascii="Tahoma" w:hAnsi="Tahoma" w:cs="Tahoma"/>
          <w:sz w:val="20"/>
          <w:lang w:val="el-GR"/>
        </w:rPr>
        <w:t>Αραβαντινός</w:t>
      </w:r>
      <w:proofErr w:type="spellEnd"/>
      <w:r w:rsidRPr="0086274B">
        <w:rPr>
          <w:rFonts w:ascii="Tahoma" w:hAnsi="Tahoma" w:cs="Tahoma"/>
          <w:sz w:val="20"/>
          <w:lang w:val="el-GR"/>
        </w:rPr>
        <w:t xml:space="preserve"> </w:t>
      </w:r>
      <w:proofErr w:type="spellStart"/>
      <w:r w:rsidRPr="0086274B">
        <w:rPr>
          <w:rFonts w:ascii="Tahoma" w:hAnsi="Tahoma" w:cs="Tahoma"/>
          <w:sz w:val="20"/>
          <w:lang w:val="el-GR"/>
        </w:rPr>
        <w:t>Αθ</w:t>
      </w:r>
      <w:proofErr w:type="spellEnd"/>
      <w:r w:rsidRPr="0086274B">
        <w:rPr>
          <w:rFonts w:ascii="Tahoma" w:hAnsi="Tahoma" w:cs="Tahoma"/>
          <w:sz w:val="20"/>
          <w:lang w:val="el-GR"/>
        </w:rPr>
        <w:t>., Πολεοδομικός σχεδιασμός για μια βιώσιμη ανάπτυξη του αστικού χώρου, Εκδόσεις ΣΥΜΜΕΤΡΙΑ, Αθήνα.</w:t>
      </w:r>
    </w:p>
    <w:p w:rsidR="00E85925" w:rsidRPr="0086274B" w:rsidRDefault="00E85925" w:rsidP="00E85925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rPr>
          <w:rFonts w:ascii="Tahoma" w:hAnsi="Tahoma" w:cs="Tahoma"/>
          <w:sz w:val="20"/>
          <w:lang w:val="el-GR"/>
        </w:rPr>
      </w:pPr>
      <w:proofErr w:type="spellStart"/>
      <w:r w:rsidRPr="0086274B">
        <w:rPr>
          <w:rFonts w:ascii="Tahoma" w:hAnsi="Tahoma" w:cs="Tahoma"/>
          <w:sz w:val="20"/>
          <w:lang w:val="el-GR"/>
        </w:rPr>
        <w:t>Κυβέλου</w:t>
      </w:r>
      <w:proofErr w:type="spellEnd"/>
      <w:r w:rsidRPr="0086274B">
        <w:rPr>
          <w:rFonts w:ascii="Tahoma" w:hAnsi="Tahoma" w:cs="Tahoma"/>
          <w:sz w:val="20"/>
          <w:lang w:val="el-GR"/>
        </w:rPr>
        <w:t xml:space="preserve"> Στ.,, Από τη χωροταξία στη </w:t>
      </w:r>
      <w:proofErr w:type="spellStart"/>
      <w:r w:rsidRPr="0086274B">
        <w:rPr>
          <w:rFonts w:ascii="Tahoma" w:hAnsi="Tahoma" w:cs="Tahoma"/>
          <w:sz w:val="20"/>
          <w:lang w:val="el-GR"/>
        </w:rPr>
        <w:t>χωροδιαχείριση</w:t>
      </w:r>
      <w:proofErr w:type="spellEnd"/>
      <w:r w:rsidRPr="0086274B">
        <w:rPr>
          <w:rFonts w:ascii="Tahoma" w:hAnsi="Tahoma" w:cs="Tahoma"/>
          <w:sz w:val="20"/>
          <w:lang w:val="el-GR"/>
        </w:rPr>
        <w:t>, Εκδόσεις ΚΡΙΤΙΚΗ, Αθήνα, 2010</w:t>
      </w:r>
    </w:p>
    <w:p w:rsidR="00E85925" w:rsidRPr="0086274B" w:rsidRDefault="00E85925" w:rsidP="00E85925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rPr>
          <w:rFonts w:ascii="Tahoma" w:hAnsi="Tahoma" w:cs="Tahoma"/>
          <w:sz w:val="20"/>
        </w:rPr>
      </w:pPr>
      <w:r w:rsidRPr="0086274B">
        <w:rPr>
          <w:rFonts w:ascii="Tahoma" w:hAnsi="Tahoma" w:cs="Tahoma"/>
          <w:sz w:val="20"/>
        </w:rPr>
        <w:t xml:space="preserve">RICS (2005), Green Value - green buildings, growing assets”, </w:t>
      </w:r>
      <w:hyperlink r:id="rId7" w:history="1">
        <w:r w:rsidRPr="0086274B">
          <w:rPr>
            <w:rStyle w:val="-"/>
            <w:rFonts w:ascii="Tahoma" w:hAnsi="Tahoma" w:cs="Tahoma"/>
            <w:sz w:val="20"/>
          </w:rPr>
          <w:t>www.rics.org/greenvalue</w:t>
        </w:r>
      </w:hyperlink>
    </w:p>
    <w:p w:rsidR="00E85925" w:rsidRPr="00E85925" w:rsidRDefault="00E85925" w:rsidP="00E85925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rPr>
          <w:rFonts w:ascii="Tahoma" w:hAnsi="Tahoma" w:cs="Tahoma"/>
          <w:sz w:val="20"/>
          <w:lang w:val="fr-FR"/>
        </w:rPr>
      </w:pPr>
      <w:r w:rsidRPr="0086274B">
        <w:rPr>
          <w:rFonts w:ascii="Tahoma" w:hAnsi="Tahoma" w:cs="Tahoma"/>
          <w:sz w:val="20"/>
          <w:lang w:val="el-GR"/>
        </w:rPr>
        <w:t>Κ</w:t>
      </w:r>
      <w:proofErr w:type="spellStart"/>
      <w:r w:rsidRPr="00E85925">
        <w:rPr>
          <w:rFonts w:ascii="Tahoma" w:hAnsi="Tahoma" w:cs="Tahoma"/>
          <w:sz w:val="20"/>
          <w:lang w:val="fr-FR"/>
        </w:rPr>
        <w:t>yvelou</w:t>
      </w:r>
      <w:proofErr w:type="spellEnd"/>
      <w:r w:rsidRPr="00E85925">
        <w:rPr>
          <w:rFonts w:ascii="Tahoma" w:hAnsi="Tahoma" w:cs="Tahoma"/>
          <w:sz w:val="20"/>
          <w:lang w:val="fr-FR"/>
        </w:rPr>
        <w:t xml:space="preserve"> St., </w:t>
      </w:r>
      <w:proofErr w:type="spellStart"/>
      <w:r w:rsidRPr="00E85925">
        <w:rPr>
          <w:rFonts w:ascii="Tahoma" w:hAnsi="Tahoma" w:cs="Tahoma"/>
          <w:sz w:val="20"/>
          <w:lang w:val="fr-FR"/>
        </w:rPr>
        <w:t>Hetzel</w:t>
      </w:r>
      <w:proofErr w:type="spellEnd"/>
      <w:r w:rsidRPr="00E85925">
        <w:rPr>
          <w:rFonts w:ascii="Tahoma" w:hAnsi="Tahoma" w:cs="Tahoma"/>
          <w:sz w:val="20"/>
          <w:lang w:val="fr-FR"/>
        </w:rPr>
        <w:t xml:space="preserve"> J., Sinou M., </w:t>
      </w:r>
      <w:proofErr w:type="spellStart"/>
      <w:r w:rsidRPr="00E85925">
        <w:rPr>
          <w:rFonts w:ascii="Tahoma" w:hAnsi="Tahoma" w:cs="Tahoma"/>
          <w:sz w:val="20"/>
          <w:lang w:val="fr-FR"/>
        </w:rPr>
        <w:t>Iwamura</w:t>
      </w:r>
      <w:proofErr w:type="spellEnd"/>
      <w:r w:rsidRPr="00E85925">
        <w:rPr>
          <w:rFonts w:ascii="Tahoma" w:hAnsi="Tahoma" w:cs="Tahoma"/>
          <w:sz w:val="20"/>
          <w:lang w:val="fr-FR"/>
        </w:rPr>
        <w:t xml:space="preserve"> K., </w:t>
      </w:r>
      <w:r w:rsidRPr="00E85925">
        <w:rPr>
          <w:rFonts w:ascii="Tahoma" w:hAnsi="Tahoma" w:cs="Tahoma"/>
          <w:bCs/>
          <w:sz w:val="20"/>
          <w:lang w:val="fr-FR"/>
        </w:rPr>
        <w:t xml:space="preserve">Démarche SD-MED, permettant d’appliquer le développement durable au cadre bâti », Editions PULIM, Limoges, 2006 </w:t>
      </w:r>
    </w:p>
    <w:p w:rsidR="00E85925" w:rsidRPr="0086274B" w:rsidRDefault="00E85925" w:rsidP="00E85925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rPr>
          <w:rFonts w:ascii="Tahoma" w:hAnsi="Tahoma" w:cs="Tahoma"/>
          <w:sz w:val="20"/>
          <w:lang w:val="el-GR"/>
        </w:rPr>
      </w:pPr>
      <w:r w:rsidRPr="0086274B">
        <w:rPr>
          <w:rFonts w:ascii="Tahoma" w:hAnsi="Tahoma" w:cs="Tahoma"/>
          <w:bCs/>
          <w:sz w:val="20"/>
          <w:lang w:val="el-GR"/>
        </w:rPr>
        <w:t xml:space="preserve">Λυδία </w:t>
      </w:r>
      <w:proofErr w:type="spellStart"/>
      <w:r w:rsidRPr="0086274B">
        <w:rPr>
          <w:rFonts w:ascii="Tahoma" w:hAnsi="Tahoma" w:cs="Tahoma"/>
          <w:bCs/>
          <w:sz w:val="20"/>
          <w:lang w:val="el-GR"/>
        </w:rPr>
        <w:t>Δρακάκη</w:t>
      </w:r>
      <w:proofErr w:type="spellEnd"/>
      <w:r w:rsidRPr="0086274B">
        <w:rPr>
          <w:rFonts w:ascii="Tahoma" w:hAnsi="Tahoma" w:cs="Tahoma"/>
          <w:bCs/>
          <w:sz w:val="20"/>
          <w:lang w:val="el-GR"/>
        </w:rPr>
        <w:t xml:space="preserve">, Στέλλα </w:t>
      </w:r>
      <w:proofErr w:type="spellStart"/>
      <w:r w:rsidRPr="0086274B">
        <w:rPr>
          <w:rFonts w:ascii="Tahoma" w:hAnsi="Tahoma" w:cs="Tahoma"/>
          <w:bCs/>
          <w:sz w:val="20"/>
          <w:lang w:val="el-GR"/>
        </w:rPr>
        <w:t>Κυβέλου</w:t>
      </w:r>
      <w:proofErr w:type="spellEnd"/>
      <w:r w:rsidRPr="0086274B">
        <w:rPr>
          <w:rFonts w:ascii="Tahoma" w:hAnsi="Tahoma" w:cs="Tahoma"/>
          <w:sz w:val="20"/>
          <w:lang w:val="el-GR"/>
        </w:rPr>
        <w:t xml:space="preserve"> ( </w:t>
      </w:r>
      <w:proofErr w:type="spellStart"/>
      <w:r w:rsidRPr="0086274B">
        <w:rPr>
          <w:rFonts w:ascii="Tahoma" w:hAnsi="Tahoma" w:cs="Tahoma"/>
          <w:sz w:val="20"/>
          <w:lang w:val="el-GR"/>
        </w:rPr>
        <w:t>επιμ</w:t>
      </w:r>
      <w:proofErr w:type="spellEnd"/>
      <w:r w:rsidRPr="0086274B">
        <w:rPr>
          <w:rFonts w:ascii="Tahoma" w:hAnsi="Tahoma" w:cs="Tahoma"/>
          <w:sz w:val="20"/>
          <w:lang w:val="el-GR"/>
        </w:rPr>
        <w:t xml:space="preserve">.), </w:t>
      </w:r>
      <w:r w:rsidRPr="0086274B">
        <w:rPr>
          <w:rFonts w:ascii="Tahoma" w:hAnsi="Tahoma" w:cs="Tahoma"/>
          <w:sz w:val="20"/>
        </w:rPr>
        <w:t>Hall</w:t>
      </w:r>
      <w:r w:rsidRPr="0086274B">
        <w:rPr>
          <w:rFonts w:ascii="Tahoma" w:hAnsi="Tahoma" w:cs="Tahoma"/>
          <w:sz w:val="20"/>
          <w:lang w:val="el-GR"/>
        </w:rPr>
        <w:t xml:space="preserve"> </w:t>
      </w:r>
      <w:r w:rsidRPr="0086274B">
        <w:rPr>
          <w:rFonts w:ascii="Tahoma" w:hAnsi="Tahoma" w:cs="Tahoma"/>
          <w:sz w:val="20"/>
        </w:rPr>
        <w:t>Tim</w:t>
      </w:r>
      <w:r w:rsidRPr="0086274B">
        <w:rPr>
          <w:rFonts w:ascii="Tahoma" w:hAnsi="Tahoma" w:cs="Tahoma"/>
          <w:sz w:val="20"/>
          <w:lang w:val="el-GR"/>
        </w:rPr>
        <w:t xml:space="preserve">, </w:t>
      </w:r>
      <w:r w:rsidRPr="0086274B">
        <w:rPr>
          <w:rFonts w:ascii="Tahoma" w:hAnsi="Tahoma" w:cs="Tahoma"/>
          <w:bCs/>
          <w:sz w:val="20"/>
          <w:lang w:val="el-GR"/>
        </w:rPr>
        <w:t>Αστική Γεωγραφία</w:t>
      </w:r>
      <w:r w:rsidRPr="0086274B">
        <w:rPr>
          <w:rFonts w:ascii="Tahoma" w:hAnsi="Tahoma" w:cs="Tahoma"/>
          <w:sz w:val="20"/>
          <w:lang w:val="el-GR"/>
        </w:rPr>
        <w:t>,  κεφ.9</w:t>
      </w:r>
      <w:r w:rsidRPr="0086274B">
        <w:rPr>
          <w:rFonts w:ascii="Tahoma" w:hAnsi="Tahoma" w:cs="Tahoma"/>
          <w:sz w:val="20"/>
          <w:vertAlign w:val="superscript"/>
          <w:lang w:val="el-GR"/>
        </w:rPr>
        <w:t>ο</w:t>
      </w:r>
      <w:r w:rsidRPr="0086274B">
        <w:rPr>
          <w:rFonts w:ascii="Tahoma" w:hAnsi="Tahoma" w:cs="Tahoma"/>
          <w:sz w:val="20"/>
          <w:lang w:val="el-GR"/>
        </w:rPr>
        <w:t>, σελ.223-248</w:t>
      </w:r>
    </w:p>
    <w:p w:rsidR="00E85925" w:rsidRPr="0086274B" w:rsidRDefault="00E85925" w:rsidP="00E85925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rPr>
          <w:rFonts w:ascii="Tahoma" w:hAnsi="Tahoma" w:cs="Tahoma"/>
          <w:sz w:val="20"/>
          <w:lang w:val="el-GR"/>
        </w:rPr>
      </w:pPr>
      <w:proofErr w:type="spellStart"/>
      <w:r w:rsidRPr="0086274B">
        <w:rPr>
          <w:rFonts w:ascii="Tahoma" w:hAnsi="Tahoma" w:cs="Tahoma"/>
          <w:sz w:val="20"/>
          <w:lang w:val="el-GR"/>
        </w:rPr>
        <w:t>Καυκαλάς</w:t>
      </w:r>
      <w:proofErr w:type="spellEnd"/>
      <w:r w:rsidRPr="0086274B">
        <w:rPr>
          <w:rFonts w:ascii="Tahoma" w:hAnsi="Tahoma" w:cs="Tahoma"/>
          <w:sz w:val="20"/>
          <w:lang w:val="el-GR"/>
        </w:rPr>
        <w:t xml:space="preserve"> </w:t>
      </w:r>
      <w:proofErr w:type="spellStart"/>
      <w:r w:rsidRPr="0086274B">
        <w:rPr>
          <w:rFonts w:ascii="Tahoma" w:hAnsi="Tahoma" w:cs="Tahoma"/>
          <w:sz w:val="20"/>
          <w:lang w:val="el-GR"/>
        </w:rPr>
        <w:t>Γ.,κ.ά</w:t>
      </w:r>
      <w:proofErr w:type="spellEnd"/>
      <w:r w:rsidRPr="0086274B">
        <w:rPr>
          <w:rFonts w:ascii="Tahoma" w:hAnsi="Tahoma" w:cs="Tahoma"/>
          <w:sz w:val="20"/>
          <w:lang w:val="el-GR"/>
        </w:rPr>
        <w:t>, Πόλη και πολεοδομικές πρακτικές, για τη βιώσιμη αστική ανάπτυξη, ΚΡΙΤΙΚΗ, Αθήνα, 2007</w:t>
      </w:r>
    </w:p>
    <w:p w:rsidR="00E85925" w:rsidRPr="0086274B" w:rsidRDefault="00E85925" w:rsidP="00E85925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rPr>
          <w:rFonts w:ascii="Tahoma" w:hAnsi="Tahoma" w:cs="Tahoma"/>
          <w:sz w:val="20"/>
        </w:rPr>
      </w:pPr>
      <w:r w:rsidRPr="0086274B">
        <w:rPr>
          <w:rFonts w:ascii="Tahoma" w:hAnsi="Tahoma" w:cs="Tahoma"/>
          <w:sz w:val="20"/>
        </w:rPr>
        <w:t>KYVELOU S. and PAPADOPOULOS T. (2011), "Exploring a South-European Eco-</w:t>
      </w:r>
      <w:proofErr w:type="spellStart"/>
      <w:r w:rsidRPr="0086274B">
        <w:rPr>
          <w:rFonts w:ascii="Tahoma" w:hAnsi="Tahoma" w:cs="Tahoma"/>
          <w:sz w:val="20"/>
        </w:rPr>
        <w:t>Neighbourhood</w:t>
      </w:r>
      <w:proofErr w:type="spellEnd"/>
      <w:r w:rsidRPr="0086274B">
        <w:rPr>
          <w:rFonts w:ascii="Tahoma" w:hAnsi="Tahoma" w:cs="Tahoma"/>
          <w:sz w:val="20"/>
        </w:rPr>
        <w:t xml:space="preserve"> Model: Planning Forms, Constraints of Implementation and Emerging Resilience Practices", International Journal of Sustainable Development, Vol. 14, Nos. 1/2, p.77-94.</w:t>
      </w:r>
    </w:p>
    <w:p w:rsidR="00E85925" w:rsidRPr="007912E1" w:rsidRDefault="00E85925" w:rsidP="00E85925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rPr>
          <w:rFonts w:ascii="Tahoma" w:hAnsi="Tahoma" w:cs="Tahoma"/>
          <w:sz w:val="20"/>
        </w:rPr>
      </w:pPr>
      <w:r w:rsidRPr="007912E1">
        <w:rPr>
          <w:rFonts w:ascii="Tahoma" w:hAnsi="Tahoma" w:cs="Tahoma"/>
          <w:sz w:val="20"/>
        </w:rPr>
        <w:t xml:space="preserve">Sinou </w:t>
      </w:r>
      <w:proofErr w:type="spellStart"/>
      <w:r w:rsidRPr="007912E1">
        <w:rPr>
          <w:rFonts w:ascii="Tahoma" w:hAnsi="Tahoma" w:cs="Tahoma"/>
          <w:sz w:val="20"/>
        </w:rPr>
        <w:t>M.,Kyvelou</w:t>
      </w:r>
      <w:proofErr w:type="spellEnd"/>
      <w:r w:rsidRPr="007912E1">
        <w:rPr>
          <w:rFonts w:ascii="Tahoma" w:hAnsi="Tahoma" w:cs="Tahoma"/>
          <w:sz w:val="20"/>
        </w:rPr>
        <w:t xml:space="preserve"> S. (2006) Present and future of building performance assessment tools,</w:t>
      </w:r>
      <w:r w:rsidRPr="0086274B">
        <w:rPr>
          <w:rFonts w:ascii="Tahoma" w:hAnsi="Tahoma" w:cs="Tahoma"/>
          <w:sz w:val="20"/>
        </w:rPr>
        <w:t xml:space="preserve"> Management of Environmental Quality An International Journal </w:t>
      </w:r>
      <w:r w:rsidRPr="007912E1">
        <w:rPr>
          <w:rFonts w:ascii="Tahoma" w:hAnsi="Tahoma" w:cs="Tahoma"/>
          <w:sz w:val="20"/>
        </w:rPr>
        <w:t>17 (5) p. 570-586</w:t>
      </w:r>
    </w:p>
    <w:p w:rsidR="00E85925" w:rsidRPr="0086274B" w:rsidRDefault="00E85925" w:rsidP="00E85925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rPr>
          <w:rFonts w:ascii="Tahoma" w:hAnsi="Tahoma" w:cs="Tahoma"/>
          <w:sz w:val="20"/>
          <w:lang w:val="el-GR"/>
        </w:rPr>
      </w:pPr>
      <w:r w:rsidRPr="007912E1">
        <w:rPr>
          <w:rFonts w:ascii="Tahoma" w:hAnsi="Tahoma" w:cs="Tahoma"/>
          <w:sz w:val="20"/>
          <w:lang w:val="el-GR"/>
        </w:rPr>
        <w:t>ΚΥΒΕΛΟΥ Στ., ΠΑΠΑΔΟΠΟΥΛΟΣ Α., «ΑΕΙΦΟΡΟΙ ΓΕΙΤΟΝΙΕΣ : ΔΙΔΑΓΜΑΤΑ ΑΠΟ ΤΗ ΒΟΡΕΙΟ ΕΥΡΩΠΗ, ΖΗΤΗΜΑΤΑ ΠΡΟΒΛΗΜΑΤΙΣΜΟΥ ΓΥΡΩ ΑΠΟ ΕΝΑ ΜΕΣΟΓΕΙΑΚΟ ΥΠΟΔΕΙΓΜΑ», ΠΡΑΚΤΙΚΑ ΣΥΝΕΔΡΙΟΥ, KΕΦΑΛΛΟΝΙΑ, ΜΑΙΟΣ 2010.</w:t>
      </w:r>
    </w:p>
    <w:p w:rsidR="00E85925" w:rsidRPr="007912E1" w:rsidRDefault="00E85925" w:rsidP="00E85925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rPr>
          <w:rFonts w:ascii="Tahoma" w:hAnsi="Tahoma" w:cs="Tahoma"/>
          <w:sz w:val="20"/>
          <w:lang w:val="fr-FR"/>
        </w:rPr>
      </w:pPr>
      <w:r w:rsidRPr="007912E1">
        <w:rPr>
          <w:rFonts w:ascii="Tahoma" w:hAnsi="Tahoma" w:cs="Tahoma"/>
          <w:sz w:val="20"/>
          <w:lang w:val="fr-FR"/>
        </w:rPr>
        <w:t>Kyvelou S.,</w:t>
      </w:r>
      <w:r w:rsidRPr="0086274B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7912E1">
        <w:rPr>
          <w:rFonts w:ascii="Tahoma" w:hAnsi="Tahoma" w:cs="Tahoma"/>
          <w:sz w:val="20"/>
          <w:lang w:val="fr-FR"/>
        </w:rPr>
        <w:t>Sapounaki</w:t>
      </w:r>
      <w:proofErr w:type="spellEnd"/>
      <w:r w:rsidRPr="007912E1">
        <w:rPr>
          <w:rFonts w:ascii="Tahoma" w:hAnsi="Tahoma" w:cs="Tahoma"/>
          <w:sz w:val="20"/>
          <w:lang w:val="fr-FR"/>
        </w:rPr>
        <w:t xml:space="preserve">-Dracaki L., Papadopoulos A., «Eco-quartiers en Europe : leçons obtenues des pays du Nord, perspectives et politiques dans les pays de </w:t>
      </w:r>
      <w:proofErr w:type="gramStart"/>
      <w:r w:rsidRPr="007912E1">
        <w:rPr>
          <w:rFonts w:ascii="Tahoma" w:hAnsi="Tahoma" w:cs="Tahoma"/>
          <w:sz w:val="20"/>
          <w:lang w:val="fr-FR"/>
        </w:rPr>
        <w:t>l' Europe</w:t>
      </w:r>
      <w:proofErr w:type="gramEnd"/>
      <w:r w:rsidRPr="007912E1">
        <w:rPr>
          <w:rFonts w:ascii="Tahoma" w:hAnsi="Tahoma" w:cs="Tahoma"/>
          <w:sz w:val="20"/>
          <w:lang w:val="fr-FR"/>
        </w:rPr>
        <w:t xml:space="preserve"> du Sud», oral </w:t>
      </w:r>
      <w:proofErr w:type="spellStart"/>
      <w:r w:rsidRPr="007912E1">
        <w:rPr>
          <w:rFonts w:ascii="Tahoma" w:hAnsi="Tahoma" w:cs="Tahoma"/>
          <w:sz w:val="20"/>
          <w:lang w:val="fr-FR"/>
        </w:rPr>
        <w:t>pre-sentation</w:t>
      </w:r>
      <w:proofErr w:type="spellEnd"/>
      <w:r w:rsidRPr="007912E1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7912E1">
        <w:rPr>
          <w:rFonts w:ascii="Tahoma" w:hAnsi="Tahoma" w:cs="Tahoma"/>
          <w:sz w:val="20"/>
          <w:lang w:val="fr-FR"/>
        </w:rPr>
        <w:t>at</w:t>
      </w:r>
      <w:proofErr w:type="spellEnd"/>
      <w:r w:rsidRPr="007912E1">
        <w:rPr>
          <w:rFonts w:ascii="Tahoma" w:hAnsi="Tahoma" w:cs="Tahoma"/>
          <w:sz w:val="20"/>
          <w:lang w:val="fr-FR"/>
        </w:rPr>
        <w:t xml:space="preserve"> the 10th International EAUH </w:t>
      </w:r>
      <w:proofErr w:type="spellStart"/>
      <w:r w:rsidRPr="007912E1">
        <w:rPr>
          <w:rFonts w:ascii="Tahoma" w:hAnsi="Tahoma" w:cs="Tahoma"/>
          <w:sz w:val="20"/>
          <w:lang w:val="fr-FR"/>
        </w:rPr>
        <w:t>Conference</w:t>
      </w:r>
      <w:proofErr w:type="spellEnd"/>
      <w:r w:rsidRPr="007912E1">
        <w:rPr>
          <w:rFonts w:ascii="Tahoma" w:hAnsi="Tahoma" w:cs="Tahoma"/>
          <w:sz w:val="20"/>
          <w:lang w:val="fr-FR"/>
        </w:rPr>
        <w:t>, Gand, August-</w:t>
      </w:r>
      <w:proofErr w:type="spellStart"/>
      <w:r w:rsidRPr="007912E1">
        <w:rPr>
          <w:rFonts w:ascii="Tahoma" w:hAnsi="Tahoma" w:cs="Tahoma"/>
          <w:sz w:val="20"/>
          <w:lang w:val="fr-FR"/>
        </w:rPr>
        <w:t>September</w:t>
      </w:r>
      <w:proofErr w:type="spellEnd"/>
      <w:r w:rsidRPr="007912E1">
        <w:rPr>
          <w:rFonts w:ascii="Tahoma" w:hAnsi="Tahoma" w:cs="Tahoma"/>
          <w:sz w:val="20"/>
          <w:lang w:val="fr-FR"/>
        </w:rPr>
        <w:t xml:space="preserve"> 2010</w:t>
      </w:r>
    </w:p>
    <w:p w:rsidR="00E85925" w:rsidRPr="007912E1" w:rsidRDefault="00E85925" w:rsidP="00E85925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rPr>
          <w:rFonts w:ascii="Tahoma" w:hAnsi="Tahoma" w:cs="Tahoma"/>
          <w:sz w:val="20"/>
        </w:rPr>
      </w:pPr>
      <w:proofErr w:type="spellStart"/>
      <w:r w:rsidRPr="007912E1">
        <w:rPr>
          <w:rFonts w:ascii="Tahoma" w:hAnsi="Tahoma" w:cs="Tahoma"/>
          <w:sz w:val="20"/>
        </w:rPr>
        <w:t>S.Kyvelou</w:t>
      </w:r>
      <w:proofErr w:type="spellEnd"/>
      <w:r w:rsidRPr="007912E1">
        <w:rPr>
          <w:rFonts w:ascii="Tahoma" w:hAnsi="Tahoma" w:cs="Tahoma"/>
          <w:sz w:val="20"/>
        </w:rPr>
        <w:t xml:space="preserve">, </w:t>
      </w:r>
      <w:proofErr w:type="spellStart"/>
      <w:r w:rsidRPr="007912E1">
        <w:rPr>
          <w:rFonts w:ascii="Tahoma" w:hAnsi="Tahoma" w:cs="Tahoma"/>
          <w:sz w:val="20"/>
        </w:rPr>
        <w:t>L.Dracaki</w:t>
      </w:r>
      <w:proofErr w:type="spellEnd"/>
      <w:r w:rsidRPr="007912E1">
        <w:rPr>
          <w:rFonts w:ascii="Tahoma" w:hAnsi="Tahoma" w:cs="Tahoma"/>
          <w:sz w:val="20"/>
        </w:rPr>
        <w:t xml:space="preserve">, </w:t>
      </w:r>
      <w:proofErr w:type="spellStart"/>
      <w:r w:rsidRPr="007912E1">
        <w:rPr>
          <w:rFonts w:ascii="Tahoma" w:hAnsi="Tahoma" w:cs="Tahoma"/>
          <w:sz w:val="20"/>
        </w:rPr>
        <w:t>M.Sinou</w:t>
      </w:r>
      <w:proofErr w:type="spellEnd"/>
      <w:r w:rsidRPr="007912E1">
        <w:rPr>
          <w:rFonts w:ascii="Tahoma" w:hAnsi="Tahoma" w:cs="Tahoma"/>
          <w:sz w:val="20"/>
        </w:rPr>
        <w:t xml:space="preserve">, </w:t>
      </w:r>
      <w:proofErr w:type="spellStart"/>
      <w:r w:rsidRPr="007912E1">
        <w:rPr>
          <w:rFonts w:ascii="Tahoma" w:hAnsi="Tahoma" w:cs="Tahoma"/>
          <w:sz w:val="20"/>
        </w:rPr>
        <w:t>A.Papadopoulos</w:t>
      </w:r>
      <w:proofErr w:type="spellEnd"/>
      <w:r w:rsidRPr="007912E1">
        <w:rPr>
          <w:rFonts w:ascii="Tahoma" w:hAnsi="Tahoma" w:cs="Tahoma"/>
          <w:sz w:val="20"/>
        </w:rPr>
        <w:t xml:space="preserve"> "Planning and building a South-European eco-neighborhood : from concepts and strategies to practice and assessment tools", Review of decentralization, local government and regional development, Vol.66, Athens, 2011</w:t>
      </w:r>
    </w:p>
    <w:p w:rsidR="00E85925" w:rsidRPr="007912E1" w:rsidRDefault="00E85925" w:rsidP="00E85925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rPr>
          <w:rFonts w:ascii="Tahoma" w:hAnsi="Tahoma" w:cs="Tahoma"/>
          <w:sz w:val="20"/>
        </w:rPr>
      </w:pPr>
      <w:r w:rsidRPr="007912E1">
        <w:rPr>
          <w:rFonts w:ascii="Tahoma" w:hAnsi="Tahoma" w:cs="Tahoma"/>
          <w:sz w:val="20"/>
        </w:rPr>
        <w:t xml:space="preserve">Stella Kyvelou, </w:t>
      </w:r>
      <w:proofErr w:type="spellStart"/>
      <w:r w:rsidRPr="007912E1">
        <w:rPr>
          <w:rFonts w:ascii="Tahoma" w:hAnsi="Tahoma" w:cs="Tahoma"/>
          <w:sz w:val="20"/>
        </w:rPr>
        <w:t>Elisavet</w:t>
      </w:r>
      <w:proofErr w:type="spellEnd"/>
      <w:r w:rsidRPr="007912E1">
        <w:rPr>
          <w:rFonts w:ascii="Tahoma" w:hAnsi="Tahoma" w:cs="Tahoma"/>
          <w:sz w:val="20"/>
        </w:rPr>
        <w:t xml:space="preserve"> </w:t>
      </w:r>
      <w:proofErr w:type="spellStart"/>
      <w:r w:rsidRPr="007912E1">
        <w:rPr>
          <w:rFonts w:ascii="Tahoma" w:hAnsi="Tahoma" w:cs="Tahoma"/>
          <w:sz w:val="20"/>
        </w:rPr>
        <w:t>Karaiskou</w:t>
      </w:r>
      <w:proofErr w:type="spellEnd"/>
      <w:r w:rsidRPr="007912E1">
        <w:rPr>
          <w:rFonts w:ascii="Tahoma" w:hAnsi="Tahoma" w:cs="Tahoma"/>
          <w:sz w:val="20"/>
        </w:rPr>
        <w:t xml:space="preserve"> (2006) Urban development through PPPs in the Euro-Mediterranean region,</w:t>
      </w:r>
      <w:r w:rsidRPr="0086274B">
        <w:rPr>
          <w:rFonts w:ascii="Tahoma" w:hAnsi="Tahoma" w:cs="Tahoma"/>
          <w:sz w:val="20"/>
        </w:rPr>
        <w:t> Management of Environmental Quality An International Journal </w:t>
      </w:r>
      <w:r w:rsidRPr="007912E1">
        <w:rPr>
          <w:rFonts w:ascii="Tahoma" w:hAnsi="Tahoma" w:cs="Tahoma"/>
          <w:sz w:val="20"/>
        </w:rPr>
        <w:t>17 (5) p. 599-610 </w:t>
      </w:r>
    </w:p>
    <w:p w:rsidR="00E85925" w:rsidRPr="007912E1" w:rsidRDefault="00E85925" w:rsidP="00E85925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rPr>
          <w:rFonts w:ascii="Tahoma" w:hAnsi="Tahoma" w:cs="Tahoma"/>
          <w:sz w:val="20"/>
        </w:rPr>
      </w:pPr>
      <w:proofErr w:type="spellStart"/>
      <w:r w:rsidRPr="007912E1">
        <w:rPr>
          <w:rFonts w:ascii="Tahoma" w:hAnsi="Tahoma" w:cs="Tahoma"/>
          <w:sz w:val="20"/>
        </w:rPr>
        <w:t>KyvelouS</w:t>
      </w:r>
      <w:proofErr w:type="spellEnd"/>
      <w:r w:rsidRPr="007912E1">
        <w:rPr>
          <w:rFonts w:ascii="Tahoma" w:hAnsi="Tahoma" w:cs="Tahoma"/>
          <w:sz w:val="20"/>
        </w:rPr>
        <w:t xml:space="preserve">., Marava, N., and </w:t>
      </w:r>
      <w:proofErr w:type="spellStart"/>
      <w:r w:rsidRPr="007912E1">
        <w:rPr>
          <w:rFonts w:ascii="Tahoma" w:hAnsi="Tahoma" w:cs="Tahoma"/>
          <w:sz w:val="20"/>
        </w:rPr>
        <w:t>Kokkoni</w:t>
      </w:r>
      <w:proofErr w:type="spellEnd"/>
      <w:r w:rsidRPr="007912E1">
        <w:rPr>
          <w:rFonts w:ascii="Tahoma" w:hAnsi="Tahoma" w:cs="Tahoma"/>
          <w:sz w:val="20"/>
        </w:rPr>
        <w:t xml:space="preserve"> G. (2011), ‘Perspectives of local public-private partnerships</w:t>
      </w:r>
      <w:r w:rsidRPr="007912E1">
        <w:rPr>
          <w:rFonts w:ascii="Tahoma" w:hAnsi="Tahoma" w:cs="Tahoma"/>
          <w:sz w:val="20"/>
        </w:rPr>
        <w:br/>
        <w:t xml:space="preserve">towards urban sustainability in </w:t>
      </w:r>
      <w:proofErr w:type="spellStart"/>
      <w:r w:rsidRPr="007912E1">
        <w:rPr>
          <w:rFonts w:ascii="Tahoma" w:hAnsi="Tahoma" w:cs="Tahoma"/>
          <w:sz w:val="20"/>
        </w:rPr>
        <w:t>Greece',</w:t>
      </w:r>
      <w:r w:rsidRPr="0086274B">
        <w:rPr>
          <w:rFonts w:ascii="Tahoma" w:hAnsi="Tahoma" w:cs="Tahoma"/>
          <w:sz w:val="20"/>
        </w:rPr>
        <w:t>Int</w:t>
      </w:r>
      <w:proofErr w:type="spellEnd"/>
      <w:r w:rsidRPr="0086274B">
        <w:rPr>
          <w:rFonts w:ascii="Tahoma" w:hAnsi="Tahoma" w:cs="Tahoma"/>
          <w:sz w:val="20"/>
        </w:rPr>
        <w:t>. J. Sustainable Development, </w:t>
      </w:r>
      <w:r w:rsidRPr="007912E1">
        <w:rPr>
          <w:rFonts w:ascii="Tahoma" w:hAnsi="Tahoma" w:cs="Tahoma"/>
          <w:sz w:val="20"/>
        </w:rPr>
        <w:t>Vol. 14, (Nos. 1/2) p. pp.95-111 </w:t>
      </w:r>
    </w:p>
    <w:p w:rsidR="00E85925" w:rsidRPr="007912E1" w:rsidRDefault="00E85925" w:rsidP="00E85925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rPr>
          <w:rFonts w:ascii="Tahoma" w:hAnsi="Tahoma" w:cs="Tahoma"/>
          <w:sz w:val="20"/>
        </w:rPr>
      </w:pPr>
      <w:proofErr w:type="spellStart"/>
      <w:r w:rsidRPr="007912E1">
        <w:rPr>
          <w:rFonts w:ascii="Tahoma" w:hAnsi="Tahoma" w:cs="Tahoma"/>
          <w:sz w:val="20"/>
        </w:rPr>
        <w:t>S.Kyvelou</w:t>
      </w:r>
      <w:proofErr w:type="spellEnd"/>
      <w:r w:rsidRPr="007912E1">
        <w:rPr>
          <w:rFonts w:ascii="Tahoma" w:hAnsi="Tahoma" w:cs="Tahoma"/>
          <w:sz w:val="20"/>
        </w:rPr>
        <w:t xml:space="preserve">, </w:t>
      </w:r>
      <w:proofErr w:type="spellStart"/>
      <w:r w:rsidRPr="007912E1">
        <w:rPr>
          <w:rFonts w:ascii="Tahoma" w:hAnsi="Tahoma" w:cs="Tahoma"/>
          <w:sz w:val="20"/>
        </w:rPr>
        <w:t>L.Dracaki</w:t>
      </w:r>
      <w:proofErr w:type="spellEnd"/>
      <w:r w:rsidRPr="007912E1">
        <w:rPr>
          <w:rFonts w:ascii="Tahoma" w:hAnsi="Tahoma" w:cs="Tahoma"/>
          <w:sz w:val="20"/>
        </w:rPr>
        <w:t xml:space="preserve">, </w:t>
      </w:r>
      <w:proofErr w:type="spellStart"/>
      <w:r w:rsidRPr="007912E1">
        <w:rPr>
          <w:rFonts w:ascii="Tahoma" w:hAnsi="Tahoma" w:cs="Tahoma"/>
          <w:sz w:val="20"/>
        </w:rPr>
        <w:t>M.Sinou</w:t>
      </w:r>
      <w:proofErr w:type="spellEnd"/>
      <w:r w:rsidRPr="007912E1">
        <w:rPr>
          <w:rFonts w:ascii="Tahoma" w:hAnsi="Tahoma" w:cs="Tahoma"/>
          <w:sz w:val="20"/>
        </w:rPr>
        <w:t xml:space="preserve">, </w:t>
      </w:r>
      <w:proofErr w:type="spellStart"/>
      <w:r w:rsidRPr="007912E1">
        <w:rPr>
          <w:rFonts w:ascii="Tahoma" w:hAnsi="Tahoma" w:cs="Tahoma"/>
          <w:sz w:val="20"/>
        </w:rPr>
        <w:t>A.Papadopoulos</w:t>
      </w:r>
      <w:proofErr w:type="spellEnd"/>
      <w:r w:rsidRPr="007912E1">
        <w:rPr>
          <w:rFonts w:ascii="Tahoma" w:hAnsi="Tahoma" w:cs="Tahoma"/>
          <w:sz w:val="20"/>
        </w:rPr>
        <w:t xml:space="preserve"> "Planning and building a South-European eco-neighborhood : from concepts and strategies to practice and assessment tools", Review of decentralization, local  government and regional development, Vol.66, Athens, 2011 </w:t>
      </w:r>
    </w:p>
    <w:p w:rsidR="00E85925" w:rsidRPr="0086274B" w:rsidRDefault="00E85925" w:rsidP="00E85925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rPr>
          <w:rFonts w:ascii="Tahoma" w:hAnsi="Tahoma" w:cs="Tahoma"/>
          <w:sz w:val="20"/>
        </w:rPr>
      </w:pPr>
      <w:r w:rsidRPr="007912E1">
        <w:rPr>
          <w:rFonts w:ascii="Tahoma" w:hAnsi="Tahoma" w:cs="Tahoma"/>
          <w:sz w:val="20"/>
        </w:rPr>
        <w:t xml:space="preserve">Kyvelou </w:t>
      </w:r>
      <w:proofErr w:type="spellStart"/>
      <w:r w:rsidRPr="007912E1">
        <w:rPr>
          <w:rFonts w:ascii="Tahoma" w:hAnsi="Tahoma" w:cs="Tahoma"/>
          <w:sz w:val="20"/>
        </w:rPr>
        <w:t>S.,Sinou</w:t>
      </w:r>
      <w:proofErr w:type="spellEnd"/>
      <w:r w:rsidRPr="007912E1">
        <w:rPr>
          <w:rFonts w:ascii="Tahoma" w:hAnsi="Tahoma" w:cs="Tahoma"/>
          <w:sz w:val="20"/>
        </w:rPr>
        <w:t xml:space="preserve"> M., Baer Is. and Papadopoulos T., "Developing a South-European Eco-Quarter Design and Assessment Tool Based on the Concept of Territorial </w:t>
      </w:r>
      <w:proofErr w:type="spellStart"/>
      <w:r w:rsidRPr="007912E1">
        <w:rPr>
          <w:rFonts w:ascii="Tahoma" w:hAnsi="Tahoma" w:cs="Tahoma"/>
          <w:sz w:val="20"/>
        </w:rPr>
        <w:t>Capital"in</w:t>
      </w:r>
      <w:proofErr w:type="spellEnd"/>
      <w:r w:rsidRPr="0086274B">
        <w:rPr>
          <w:rFonts w:ascii="Tahoma" w:hAnsi="Tahoma" w:cs="Tahoma"/>
          <w:sz w:val="20"/>
        </w:rPr>
        <w:t> Sustainable Development : Authoritative and Leading Edge Content for Environmental Management</w:t>
      </w:r>
      <w:r w:rsidRPr="007912E1">
        <w:rPr>
          <w:rFonts w:ascii="Tahoma" w:hAnsi="Tahoma" w:cs="Tahoma"/>
          <w:sz w:val="20"/>
        </w:rPr>
        <w:t xml:space="preserve">, </w:t>
      </w:r>
      <w:proofErr w:type="spellStart"/>
      <w:r w:rsidRPr="007912E1">
        <w:rPr>
          <w:rFonts w:ascii="Tahoma" w:hAnsi="Tahoma" w:cs="Tahoma"/>
          <w:sz w:val="20"/>
        </w:rPr>
        <w:t>InTech</w:t>
      </w:r>
      <w:proofErr w:type="spellEnd"/>
      <w:r w:rsidRPr="007912E1">
        <w:rPr>
          <w:rFonts w:ascii="Tahoma" w:hAnsi="Tahoma" w:cs="Tahoma"/>
          <w:sz w:val="20"/>
        </w:rPr>
        <w:t>, 2012</w:t>
      </w:r>
    </w:p>
    <w:p w:rsidR="003A04A8" w:rsidRPr="00E85925" w:rsidRDefault="00E85925" w:rsidP="00E85925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rPr>
          <w:rFonts w:ascii="Tahoma" w:hAnsi="Tahoma" w:cs="Tahoma"/>
          <w:sz w:val="20"/>
          <w:lang w:val="fr-FR"/>
        </w:rPr>
      </w:pPr>
      <w:r w:rsidRPr="0086274B">
        <w:rPr>
          <w:rFonts w:ascii="Tahoma" w:hAnsi="Tahoma" w:cs="Tahoma"/>
          <w:sz w:val="20"/>
          <w:lang w:val="el-GR"/>
        </w:rPr>
        <w:t>Ε</w:t>
      </w:r>
      <w:r w:rsidRPr="0086274B">
        <w:rPr>
          <w:rFonts w:ascii="Tahoma" w:hAnsi="Tahoma" w:cs="Tahoma"/>
          <w:sz w:val="20"/>
          <w:lang w:val="fr-FR"/>
        </w:rPr>
        <w:t xml:space="preserve">SPON Programme </w:t>
      </w:r>
      <w:hyperlink r:id="rId8" w:history="1">
        <w:r w:rsidRPr="0086274B">
          <w:rPr>
            <w:rStyle w:val="-"/>
            <w:rFonts w:ascii="Tahoma" w:hAnsi="Tahoma" w:cs="Tahoma"/>
            <w:sz w:val="20"/>
            <w:lang w:val="fr-FR"/>
          </w:rPr>
          <w:t>www.espon.eu</w:t>
        </w:r>
      </w:hyperlink>
      <w:r w:rsidRPr="0086274B">
        <w:rPr>
          <w:rFonts w:ascii="Tahoma" w:hAnsi="Tahoma" w:cs="Tahoma"/>
          <w:sz w:val="20"/>
          <w:lang w:val="fr-FR"/>
        </w:rPr>
        <w:t xml:space="preserve"> , </w:t>
      </w:r>
      <w:hyperlink r:id="rId9" w:history="1">
        <w:r w:rsidRPr="0086274B">
          <w:rPr>
            <w:rStyle w:val="-"/>
            <w:rFonts w:ascii="Tahoma" w:hAnsi="Tahoma" w:cs="Tahoma"/>
            <w:sz w:val="20"/>
            <w:lang w:val="fr-FR"/>
          </w:rPr>
          <w:t>www.espon2013.panteion.eu</w:t>
        </w:r>
      </w:hyperlink>
    </w:p>
    <w:sectPr w:rsidR="003A04A8" w:rsidRPr="00E85925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19" w:rsidRDefault="00C67619">
      <w:r>
        <w:separator/>
      </w:r>
    </w:p>
  </w:endnote>
  <w:endnote w:type="continuationSeparator" w:id="0">
    <w:p w:rsidR="00C67619" w:rsidRDefault="00C6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B9" w:rsidRDefault="00F96BB9">
    <w:pPr>
      <w:pStyle w:val="a8"/>
      <w:framePr w:wrap="around" w:vAnchor="text" w:hAnchor="margin" w:xAlign="center" w:y="1"/>
      <w:rPr>
        <w:rStyle w:val="a9"/>
        <w:sz w:val="23"/>
      </w:rPr>
    </w:pPr>
    <w:r>
      <w:rPr>
        <w:rStyle w:val="a9"/>
        <w:sz w:val="23"/>
      </w:rPr>
      <w:t xml:space="preserve">PAGE  </w:t>
    </w:r>
    <w:r>
      <w:rPr>
        <w:rStyle w:val="a9"/>
        <w:sz w:val="23"/>
      </w:rPr>
      <w:t/>
    </w:r>
    <w:r>
      <w:rPr>
        <w:rStyle w:val="a9"/>
        <w:noProof/>
        <w:sz w:val="23"/>
      </w:rPr>
      <w:t>4</w:t>
    </w:r>
  </w:p>
  <w:p w:rsidR="00F96BB9" w:rsidRDefault="00F96BB9">
    <w:pPr>
      <w:pStyle w:val="a8"/>
      <w:ind w:right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B9" w:rsidRDefault="00F96BB9">
    <w:pPr>
      <w:pStyle w:val="a8"/>
      <w:ind w:right="360"/>
      <w:rPr>
        <w:sz w:val="23"/>
        <w:lang w:val="el-GR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85925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19" w:rsidRDefault="00C67619">
      <w:r>
        <w:separator/>
      </w:r>
    </w:p>
  </w:footnote>
  <w:footnote w:type="continuationSeparator" w:id="0">
    <w:p w:rsidR="00C67619" w:rsidRDefault="00C6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6921"/>
    <w:multiLevelType w:val="multilevel"/>
    <w:tmpl w:val="ADEE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F762012"/>
    <w:multiLevelType w:val="hybridMultilevel"/>
    <w:tmpl w:val="FAE23FCA"/>
    <w:lvl w:ilvl="0" w:tplc="F69A1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47C65"/>
    <w:multiLevelType w:val="multilevel"/>
    <w:tmpl w:val="95B2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u w:val="single"/>
      </w:rPr>
    </w:lvl>
  </w:abstractNum>
  <w:abstractNum w:abstractNumId="3">
    <w:nsid w:val="5616651E"/>
    <w:multiLevelType w:val="hybridMultilevel"/>
    <w:tmpl w:val="032E7EF0"/>
    <w:lvl w:ilvl="0" w:tplc="F4A02C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6174B2"/>
    <w:multiLevelType w:val="hybridMultilevel"/>
    <w:tmpl w:val="C3B23B72"/>
    <w:lvl w:ilvl="0" w:tplc="754A0E8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60" w:hanging="360"/>
      </w:pPr>
    </w:lvl>
    <w:lvl w:ilvl="2" w:tplc="0408001B" w:tentative="1">
      <w:start w:val="1"/>
      <w:numFmt w:val="lowerRoman"/>
      <w:lvlText w:val="%3."/>
      <w:lvlJc w:val="right"/>
      <w:pPr>
        <w:ind w:left="1680" w:hanging="180"/>
      </w:pPr>
    </w:lvl>
    <w:lvl w:ilvl="3" w:tplc="0408000F" w:tentative="1">
      <w:start w:val="1"/>
      <w:numFmt w:val="decimal"/>
      <w:lvlText w:val="%4."/>
      <w:lvlJc w:val="left"/>
      <w:pPr>
        <w:ind w:left="2400" w:hanging="360"/>
      </w:pPr>
    </w:lvl>
    <w:lvl w:ilvl="4" w:tplc="04080019" w:tentative="1">
      <w:start w:val="1"/>
      <w:numFmt w:val="lowerLetter"/>
      <w:lvlText w:val="%5."/>
      <w:lvlJc w:val="left"/>
      <w:pPr>
        <w:ind w:left="3120" w:hanging="360"/>
      </w:pPr>
    </w:lvl>
    <w:lvl w:ilvl="5" w:tplc="0408001B" w:tentative="1">
      <w:start w:val="1"/>
      <w:numFmt w:val="lowerRoman"/>
      <w:lvlText w:val="%6."/>
      <w:lvlJc w:val="right"/>
      <w:pPr>
        <w:ind w:left="3840" w:hanging="180"/>
      </w:pPr>
    </w:lvl>
    <w:lvl w:ilvl="6" w:tplc="0408000F" w:tentative="1">
      <w:start w:val="1"/>
      <w:numFmt w:val="decimal"/>
      <w:lvlText w:val="%7."/>
      <w:lvlJc w:val="left"/>
      <w:pPr>
        <w:ind w:left="4560" w:hanging="360"/>
      </w:pPr>
    </w:lvl>
    <w:lvl w:ilvl="7" w:tplc="04080019" w:tentative="1">
      <w:start w:val="1"/>
      <w:numFmt w:val="lowerLetter"/>
      <w:lvlText w:val="%8."/>
      <w:lvlJc w:val="left"/>
      <w:pPr>
        <w:ind w:left="5280" w:hanging="360"/>
      </w:pPr>
    </w:lvl>
    <w:lvl w:ilvl="8" w:tplc="0408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>
    <w:nsid w:val="6B991979"/>
    <w:multiLevelType w:val="hybridMultilevel"/>
    <w:tmpl w:val="6414C8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E564B"/>
    <w:multiLevelType w:val="hybridMultilevel"/>
    <w:tmpl w:val="99A6E3F4"/>
    <w:lvl w:ilvl="0" w:tplc="4740B14E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BFF43D5"/>
    <w:multiLevelType w:val="hybridMultilevel"/>
    <w:tmpl w:val="FEE43A46"/>
    <w:lvl w:ilvl="0" w:tplc="2B8AD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165518"/>
    <w:multiLevelType w:val="hybridMultilevel"/>
    <w:tmpl w:val="45B0D84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B9D"/>
    <w:rsid w:val="000B7C82"/>
    <w:rsid w:val="001173EE"/>
    <w:rsid w:val="001C18ED"/>
    <w:rsid w:val="00344593"/>
    <w:rsid w:val="003A04A8"/>
    <w:rsid w:val="00411E1C"/>
    <w:rsid w:val="005A18C5"/>
    <w:rsid w:val="005C07DF"/>
    <w:rsid w:val="006E6B9D"/>
    <w:rsid w:val="00744502"/>
    <w:rsid w:val="0077525D"/>
    <w:rsid w:val="008734D6"/>
    <w:rsid w:val="009C208F"/>
    <w:rsid w:val="009E1B3D"/>
    <w:rsid w:val="00B8695A"/>
    <w:rsid w:val="00B94E16"/>
    <w:rsid w:val="00C67619"/>
    <w:rsid w:val="00E85925"/>
    <w:rsid w:val="00EC76D5"/>
    <w:rsid w:val="00ED059E"/>
    <w:rsid w:val="00F9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US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3"/>
      <w:u w:val="single"/>
      <w:lang w:val="el-G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dr w:val="single" w:sz="4" w:space="0" w:color="auto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firstLine="720"/>
      <w:jc w:val="center"/>
      <w:outlineLvl w:val="6"/>
    </w:pPr>
    <w:rPr>
      <w:b/>
      <w:sz w:val="28"/>
      <w:lang w:val="el-GR"/>
    </w:rPr>
  </w:style>
  <w:style w:type="paragraph" w:styleId="8">
    <w:name w:val="heading 8"/>
    <w:basedOn w:val="a"/>
    <w:next w:val="a"/>
    <w:qFormat/>
    <w:pPr>
      <w:keepNext/>
      <w:ind w:firstLine="720"/>
      <w:jc w:val="center"/>
      <w:outlineLvl w:val="7"/>
    </w:pPr>
    <w:rPr>
      <w:b/>
      <w:lang w:val="el-GR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u w:val="single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semiHidden/>
    <w:rPr>
      <w:vertAlign w:val="superscript"/>
    </w:rPr>
  </w:style>
  <w:style w:type="paragraph" w:styleId="a4">
    <w:name w:val="endnote text"/>
    <w:basedOn w:val="a"/>
    <w:semiHidden/>
  </w:style>
  <w:style w:type="paragraph" w:styleId="a5">
    <w:name w:val="Body Text"/>
    <w:basedOn w:val="a"/>
    <w:semiHidden/>
    <w:pPr>
      <w:jc w:val="both"/>
    </w:pPr>
    <w:rPr>
      <w:u w:val="single"/>
      <w:lang w:val="el-GR"/>
    </w:rPr>
  </w:style>
  <w:style w:type="paragraph" w:styleId="a6">
    <w:name w:val="footnote text"/>
    <w:basedOn w:val="a"/>
    <w:semiHidden/>
  </w:style>
  <w:style w:type="character" w:styleId="a7">
    <w:name w:val="footnote reference"/>
    <w:basedOn w:val="a0"/>
    <w:semiHidden/>
    <w:rPr>
      <w:vertAlign w:val="superscript"/>
    </w:rPr>
  </w:style>
  <w:style w:type="paragraph" w:styleId="a8">
    <w:name w:val="footer"/>
    <w:basedOn w:val="a"/>
    <w:semiHidden/>
    <w:pPr>
      <w:tabs>
        <w:tab w:val="center" w:pos="4320"/>
        <w:tab w:val="right" w:pos="8640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320"/>
        <w:tab w:val="right" w:pos="8640"/>
      </w:tabs>
    </w:pPr>
  </w:style>
  <w:style w:type="paragraph" w:styleId="20">
    <w:name w:val="Body Text 2"/>
    <w:basedOn w:val="a"/>
    <w:semiHidden/>
    <w:pPr>
      <w:jc w:val="both"/>
    </w:pPr>
    <w:rPr>
      <w:b/>
      <w:sz w:val="32"/>
      <w:lang w:val="el-GR"/>
    </w:rPr>
  </w:style>
  <w:style w:type="paragraph" w:styleId="ab">
    <w:name w:val="Body Text Indent"/>
    <w:basedOn w:val="a"/>
    <w:semiHidden/>
    <w:pPr>
      <w:ind w:firstLine="720"/>
      <w:jc w:val="both"/>
    </w:pPr>
    <w:rPr>
      <w:lang w:val="el-GR"/>
    </w:rPr>
  </w:style>
  <w:style w:type="paragraph" w:styleId="21">
    <w:name w:val="Body Text Indent 2"/>
    <w:basedOn w:val="a"/>
    <w:semiHidden/>
    <w:pPr>
      <w:ind w:firstLine="720"/>
      <w:jc w:val="both"/>
    </w:pPr>
  </w:style>
  <w:style w:type="paragraph" w:styleId="30">
    <w:name w:val="Body Text 3"/>
    <w:basedOn w:val="a"/>
    <w:semiHidden/>
    <w:pPr>
      <w:jc w:val="both"/>
    </w:pPr>
    <w:rPr>
      <w:lang w:val="el-GR"/>
    </w:rPr>
  </w:style>
  <w:style w:type="character" w:styleId="-">
    <w:name w:val="Hyperlink"/>
    <w:basedOn w:val="a0"/>
    <w:semiHidden/>
    <w:rPr>
      <w:color w:val="0000FF"/>
      <w:u w:val="single"/>
    </w:rPr>
  </w:style>
  <w:style w:type="paragraph" w:styleId="31">
    <w:name w:val="Body Text Indent 3"/>
    <w:basedOn w:val="a"/>
    <w:semiHidden/>
    <w:pPr>
      <w:ind w:firstLine="720"/>
      <w:jc w:val="center"/>
    </w:pPr>
    <w:rPr>
      <w:lang w:val="el-GR"/>
    </w:rPr>
  </w:style>
  <w:style w:type="paragraph" w:styleId="ac">
    <w:name w:val="caption"/>
    <w:basedOn w:val="a"/>
    <w:next w:val="a"/>
    <w:qFormat/>
    <w:pPr>
      <w:jc w:val="center"/>
    </w:pPr>
    <w:rPr>
      <w:b/>
      <w:sz w:val="28"/>
      <w:u w:val="single"/>
      <w:lang w:val="el-GR"/>
    </w:rPr>
  </w:style>
  <w:style w:type="character" w:styleId="-0">
    <w:name w:val="FollowedHyperlink"/>
    <w:basedOn w:val="a0"/>
    <w:semiHidden/>
    <w:rPr>
      <w:color w:val="800080"/>
      <w:u w:val="single"/>
    </w:rPr>
  </w:style>
  <w:style w:type="character" w:styleId="ad">
    <w:name w:val="Strong"/>
    <w:basedOn w:val="a0"/>
    <w:qFormat/>
    <w:rPr>
      <w:rFonts w:ascii="Times New Roman" w:hAnsi="Times New Roman" w:cs="Times New Roman"/>
      <w:b w:val="0"/>
      <w:bCs w:val="0"/>
      <w:sz w:val="24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Cs w:val="24"/>
      <w:lang w:val="en-GB" w:eastAsia="en-US"/>
    </w:rPr>
  </w:style>
  <w:style w:type="paragraph" w:styleId="ae">
    <w:name w:val="Title"/>
    <w:basedOn w:val="a"/>
    <w:qFormat/>
    <w:pPr>
      <w:autoSpaceDE w:val="0"/>
      <w:autoSpaceDN w:val="0"/>
      <w:jc w:val="center"/>
    </w:pPr>
    <w:rPr>
      <w:rFonts w:ascii="Bookman Old Style" w:hAnsi="Bookman Old Style"/>
      <w:b/>
      <w:bCs/>
      <w:sz w:val="20"/>
      <w:lang w:val="el-GR"/>
    </w:rPr>
  </w:style>
  <w:style w:type="paragraph" w:customStyle="1" w:styleId="Style1">
    <w:name w:val="Style1"/>
    <w:basedOn w:val="a"/>
    <w:pPr>
      <w:jc w:val="both"/>
    </w:pPr>
    <w:rPr>
      <w:rFonts w:ascii="Times New Roman" w:hAnsi="Times New Roman"/>
      <w:szCs w:val="24"/>
      <w:lang w:val="el-GR" w:eastAsia="en-US"/>
    </w:rPr>
  </w:style>
  <w:style w:type="paragraph" w:customStyle="1" w:styleId="o-title">
    <w:name w:val="o-title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Cs w:val="24"/>
      <w:lang w:val="en-GB" w:eastAsia="en-US"/>
    </w:rPr>
  </w:style>
  <w:style w:type="paragraph" w:customStyle="1" w:styleId="l-text">
    <w:name w:val="l-tex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Cs w:val="24"/>
      <w:lang w:val="en-GB" w:eastAsia="en-US"/>
    </w:rPr>
  </w:style>
  <w:style w:type="paragraph" w:customStyle="1" w:styleId="mash">
    <w:name w:val="mash"/>
    <w:basedOn w:val="a"/>
    <w:pPr>
      <w:spacing w:before="100" w:beforeAutospacing="1" w:after="100" w:afterAutospacing="1"/>
    </w:pPr>
    <w:rPr>
      <w:rFonts w:eastAsia="Arial Unicode MS"/>
      <w:b/>
      <w:bCs/>
      <w:color w:val="FFFFCC"/>
      <w:sz w:val="19"/>
      <w:szCs w:val="19"/>
      <w:lang w:val="en-GB" w:eastAsia="en-US"/>
    </w:rPr>
  </w:style>
  <w:style w:type="paragraph" w:customStyle="1" w:styleId="mash2">
    <w:name w:val="mash2"/>
    <w:basedOn w:val="a"/>
    <w:pPr>
      <w:spacing w:before="100" w:beforeAutospacing="1" w:after="100" w:afterAutospacing="1"/>
    </w:pPr>
    <w:rPr>
      <w:rFonts w:eastAsia="Arial Unicode MS"/>
      <w:b/>
      <w:bCs/>
      <w:color w:val="FFFFCC"/>
      <w:sz w:val="26"/>
      <w:szCs w:val="26"/>
      <w:lang w:val="en-GB" w:eastAsia="en-US"/>
    </w:rPr>
  </w:style>
  <w:style w:type="paragraph" w:customStyle="1" w:styleId="c-title">
    <w:name w:val="c-title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Cs w:val="24"/>
      <w:lang w:val="en-GB" w:eastAsia="en-US"/>
    </w:rPr>
  </w:style>
  <w:style w:type="paragraph" w:customStyle="1" w:styleId="datatableheader">
    <w:name w:val="data_table_header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  <w:lang w:val="en-GB" w:eastAsia="en-US"/>
    </w:rPr>
  </w:style>
  <w:style w:type="paragraph" w:customStyle="1" w:styleId="datatable">
    <w:name w:val="data_table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  <w:lang w:val="en-GB" w:eastAsia="en-US"/>
    </w:rPr>
  </w:style>
  <w:style w:type="paragraph" w:customStyle="1" w:styleId="title21">
    <w:name w:val="title21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Cs w:val="24"/>
      <w:lang w:val="en-GB" w:eastAsia="en-US"/>
    </w:rPr>
  </w:style>
  <w:style w:type="paragraph" w:customStyle="1" w:styleId="title2">
    <w:name w:val="title2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Cs w:val="24"/>
      <w:lang w:val="en-GB" w:eastAsia="en-US"/>
    </w:rPr>
  </w:style>
  <w:style w:type="paragraph" w:customStyle="1" w:styleId="BodyText21">
    <w:name w:val="Body Text 21"/>
    <w:basedOn w:val="a"/>
    <w:pPr>
      <w:autoSpaceDE w:val="0"/>
      <w:autoSpaceDN w:val="0"/>
      <w:spacing w:before="120"/>
      <w:jc w:val="both"/>
    </w:pPr>
    <w:rPr>
      <w:sz w:val="28"/>
      <w:szCs w:val="28"/>
      <w:lang w:val="en-GB"/>
    </w:rPr>
  </w:style>
  <w:style w:type="paragraph" w:customStyle="1" w:styleId="Equation">
    <w:name w:val="Equation"/>
    <w:basedOn w:val="a5"/>
    <w:next w:val="a5"/>
    <w:pPr>
      <w:tabs>
        <w:tab w:val="center" w:pos="4536"/>
        <w:tab w:val="right" w:pos="9071"/>
      </w:tabs>
      <w:spacing w:before="120"/>
    </w:pPr>
    <w:rPr>
      <w:rFonts w:ascii="Times New Roman" w:hAnsi="Times New Roman"/>
      <w:szCs w:val="24"/>
      <w:u w:val="none"/>
      <w:lang w:val="en-GB"/>
    </w:rPr>
  </w:style>
  <w:style w:type="character" w:customStyle="1" w:styleId="title1">
    <w:name w:val="title1"/>
    <w:basedOn w:val="a0"/>
  </w:style>
  <w:style w:type="character" w:customStyle="1" w:styleId="link">
    <w:name w:val="link"/>
    <w:basedOn w:val="a0"/>
  </w:style>
  <w:style w:type="character" w:customStyle="1" w:styleId="justify">
    <w:name w:val="justify"/>
    <w:basedOn w:val="a0"/>
  </w:style>
  <w:style w:type="character" w:customStyle="1" w:styleId="bold">
    <w:name w:val="bold"/>
    <w:basedOn w:val="a0"/>
  </w:style>
  <w:style w:type="character" w:customStyle="1" w:styleId="justify1">
    <w:name w:val="justify1"/>
    <w:basedOn w:val="a0"/>
  </w:style>
  <w:style w:type="paragraph" w:customStyle="1" w:styleId="Numrotationlintrieurduntableau">
    <w:name w:val="Numérotation à l'intérieur d'un tableau"/>
    <w:basedOn w:val="a"/>
    <w:autoRedefine/>
    <w:pPr>
      <w:ind w:left="720" w:hanging="720"/>
    </w:pPr>
    <w:rPr>
      <w:b/>
      <w:szCs w:val="22"/>
      <w:u w:val="single"/>
      <w:lang w:val="el-GR" w:eastAsia="en-US"/>
    </w:rPr>
  </w:style>
  <w:style w:type="paragraph" w:customStyle="1" w:styleId="References">
    <w:name w:val="References"/>
    <w:basedOn w:val="a5"/>
    <w:pPr>
      <w:widowControl w:val="0"/>
      <w:tabs>
        <w:tab w:val="num" w:pos="567"/>
      </w:tabs>
      <w:suppressAutoHyphens/>
      <w:spacing w:after="120" w:line="240" w:lineRule="exact"/>
      <w:ind w:left="567" w:hanging="567"/>
      <w:jc w:val="left"/>
    </w:pPr>
    <w:rPr>
      <w:rFonts w:ascii="Times New Roman" w:hAnsi="Times New Roman"/>
      <w:kern w:val="20"/>
      <w:u w:val="none"/>
      <w:lang w:val="en-GB" w:eastAsia="en-US"/>
    </w:rPr>
  </w:style>
  <w:style w:type="paragraph" w:styleId="af">
    <w:name w:val="List Paragraph"/>
    <w:basedOn w:val="a"/>
    <w:uiPriority w:val="34"/>
    <w:qFormat/>
    <w:rsid w:val="008734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cs.org/greenval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pon2013.panteion.e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ΠΑΝΤΕΙΟ ΠΑΝΕΠΙΣΤΗΜΙΟ</vt:lpstr>
      <vt:lpstr>ΠΑΝΤΕΙΟ ΠΑΝΕΠΙΣΤΗΜΙΟ</vt:lpstr>
    </vt:vector>
  </TitlesOfParts>
  <Company>Hewlett-Packard</Company>
  <LinksUpToDate>false</LinksUpToDate>
  <CharactersWithSpaces>6370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http://www.rics.org/greenvalue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ΠΑΝΤΕΙΟ ΠΑΝΕΠΙΣΤΗΜΙΟ</dc:title>
  <dc:creator>ARVANITIS ALEX</dc:creator>
  <cp:lastModifiedBy>Stella</cp:lastModifiedBy>
  <cp:revision>2</cp:revision>
  <cp:lastPrinted>2006-02-19T19:07:00Z</cp:lastPrinted>
  <dcterms:created xsi:type="dcterms:W3CDTF">2014-02-26T11:31:00Z</dcterms:created>
  <dcterms:modified xsi:type="dcterms:W3CDTF">2014-02-26T11:31:00Z</dcterms:modified>
</cp:coreProperties>
</file>